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952" w14:textId="77777777" w:rsidR="00DA7B56" w:rsidRDefault="00DA7B56" w:rsidP="00DA7B56">
      <w:pPr>
        <w:widowControl w:val="0"/>
        <w:pBdr>
          <w:top w:val="nil"/>
          <w:left w:val="nil"/>
          <w:bottom w:val="nil"/>
          <w:right w:val="nil"/>
          <w:between w:val="nil"/>
        </w:pBdr>
        <w:spacing w:before="38"/>
        <w:jc w:val="center"/>
        <w:rPr>
          <w:rFonts w:ascii="Times New Roman" w:eastAsia="Times New Roman" w:hAnsi="Times New Roman" w:cs="Times New Roman"/>
          <w:b/>
          <w:color w:val="000000"/>
        </w:rPr>
      </w:pPr>
    </w:p>
    <w:p w14:paraId="158C79CC" w14:textId="77777777" w:rsidR="00DA7B56" w:rsidRDefault="00DA7B56" w:rsidP="00DA7B56">
      <w:pPr>
        <w:widowControl w:val="0"/>
        <w:pBdr>
          <w:top w:val="nil"/>
          <w:left w:val="nil"/>
          <w:bottom w:val="nil"/>
          <w:right w:val="nil"/>
          <w:between w:val="nil"/>
        </w:pBdr>
        <w:spacing w:before="38"/>
        <w:jc w:val="center"/>
        <w:rPr>
          <w:rFonts w:ascii="Times New Roman" w:eastAsia="Times New Roman" w:hAnsi="Times New Roman" w:cs="Times New Roman"/>
          <w:b/>
          <w:color w:val="000000"/>
        </w:rPr>
      </w:pPr>
    </w:p>
    <w:p w14:paraId="49294AC5" w14:textId="6AF5D08C" w:rsidR="00DA7B56" w:rsidRDefault="586E25FB" w:rsidP="586E25FB">
      <w:pPr>
        <w:widowControl w:val="0"/>
        <w:pBdr>
          <w:top w:val="nil"/>
          <w:left w:val="nil"/>
          <w:bottom w:val="nil"/>
          <w:right w:val="nil"/>
          <w:between w:val="nil"/>
        </w:pBdr>
        <w:spacing w:before="38"/>
        <w:jc w:val="center"/>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Resource L: Simulation/Role-Play Activity</w:t>
      </w:r>
    </w:p>
    <w:p w14:paraId="5026423B" w14:textId="744B5F76" w:rsidR="00DA7B56" w:rsidRDefault="586E25FB" w:rsidP="586E25FB">
      <w:pPr>
        <w:widowControl w:val="0"/>
        <w:pBdr>
          <w:top w:val="nil"/>
          <w:left w:val="nil"/>
          <w:bottom w:val="nil"/>
          <w:right w:val="nil"/>
          <w:between w:val="nil"/>
        </w:pBdr>
        <w:spacing w:before="38"/>
        <w:jc w:val="center"/>
        <w:rPr>
          <w:rFonts w:asciiTheme="minorHAnsi" w:eastAsiaTheme="minorEastAsia" w:hAnsiTheme="minorHAnsi" w:cstheme="minorBidi"/>
          <w:b/>
          <w:bCs/>
          <w:i/>
          <w:iCs/>
          <w:color w:val="000000"/>
        </w:rPr>
      </w:pPr>
      <w:r w:rsidRPr="586E25FB">
        <w:rPr>
          <w:rFonts w:asciiTheme="minorHAnsi" w:eastAsiaTheme="minorEastAsia" w:hAnsiTheme="minorHAnsi" w:cstheme="minorBidi"/>
          <w:b/>
          <w:bCs/>
          <w:i/>
          <w:iCs/>
          <w:color w:val="000000" w:themeColor="text1"/>
        </w:rPr>
        <w:t>***For simulation specialist or instructor/professional development (PD) provider only**</w:t>
      </w:r>
    </w:p>
    <w:p w14:paraId="66C7A307" w14:textId="77777777" w:rsidR="00DA7B56" w:rsidRDefault="00DA7B56" w:rsidP="586E25FB">
      <w:pPr>
        <w:widowControl w:val="0"/>
        <w:pBdr>
          <w:top w:val="nil"/>
          <w:left w:val="nil"/>
          <w:bottom w:val="nil"/>
          <w:right w:val="nil"/>
          <w:between w:val="nil"/>
        </w:pBdr>
        <w:spacing w:before="38"/>
        <w:jc w:val="center"/>
        <w:rPr>
          <w:rFonts w:asciiTheme="minorHAnsi" w:eastAsiaTheme="minorEastAsia" w:hAnsiTheme="minorHAnsi" w:cstheme="minorBidi"/>
          <w:b/>
          <w:bCs/>
          <w:color w:val="000000"/>
        </w:rPr>
      </w:pPr>
    </w:p>
    <w:p w14:paraId="13C63C55" w14:textId="320DFEC4"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Target participant behaviors for the simulation or role play include “hits,” which represent strategies that should be seen during a collaborative discussion. “Misses” refer to non-preferred participant behavior.</w:t>
      </w:r>
    </w:p>
    <w:p w14:paraId="370534DD" w14:textId="77777777" w:rsidR="00DA7B56" w:rsidRDefault="00DA7B56" w:rsidP="586E25FB">
      <w:pPr>
        <w:widowControl w:val="0"/>
        <w:pBdr>
          <w:top w:val="nil"/>
          <w:left w:val="nil"/>
          <w:bottom w:val="nil"/>
          <w:right w:val="nil"/>
          <w:between w:val="nil"/>
        </w:pBdr>
        <w:spacing w:before="38"/>
        <w:rPr>
          <w:rFonts w:asciiTheme="minorHAnsi" w:eastAsiaTheme="minorEastAsia" w:hAnsiTheme="minorHAnsi" w:cstheme="minorBidi"/>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A7B56" w14:paraId="39A02D1A" w14:textId="77777777" w:rsidTr="0AA923BF">
        <w:tc>
          <w:tcPr>
            <w:tcW w:w="4675" w:type="dxa"/>
          </w:tcPr>
          <w:p w14:paraId="5DC9CDA9" w14:textId="2D669A92"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When special education teacher participants…</w:t>
            </w:r>
          </w:p>
        </w:tc>
        <w:tc>
          <w:tcPr>
            <w:tcW w:w="4675" w:type="dxa"/>
          </w:tcPr>
          <w:p w14:paraId="21E3C242"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The general education avatar will…</w:t>
            </w:r>
          </w:p>
        </w:tc>
      </w:tr>
      <w:tr w:rsidR="00DA7B56" w14:paraId="178BCDB0" w14:textId="77777777" w:rsidTr="0AA923BF">
        <w:tc>
          <w:tcPr>
            <w:tcW w:w="4675" w:type="dxa"/>
          </w:tcPr>
          <w:p w14:paraId="50EF1117"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HIT</w:t>
            </w:r>
          </w:p>
        </w:tc>
        <w:tc>
          <w:tcPr>
            <w:tcW w:w="4675" w:type="dxa"/>
          </w:tcPr>
          <w:p w14:paraId="7E6F869A"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HIT</w:t>
            </w:r>
          </w:p>
        </w:tc>
      </w:tr>
      <w:tr w:rsidR="00DA7B56" w14:paraId="7AA2C550" w14:textId="77777777" w:rsidTr="0AA923BF">
        <w:tc>
          <w:tcPr>
            <w:tcW w:w="4675" w:type="dxa"/>
          </w:tcPr>
          <w:p w14:paraId="695EA9A2" w14:textId="10433CA9" w:rsidR="00DA7B56" w:rsidRDefault="586E25FB" w:rsidP="586E25FB">
            <w:pPr>
              <w:widowControl w:val="0"/>
              <w:pBdr>
                <w:top w:val="nil"/>
                <w:left w:val="nil"/>
                <w:bottom w:val="nil"/>
                <w:right w:val="nil"/>
                <w:between w:val="nil"/>
              </w:pBdr>
              <w:spacing w:before="64" w:line="261" w:lineRule="auto"/>
              <w:ind w:left="72" w:right="374"/>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 interpret and communicate assessment information with stakeholders to collaboratively design and implement educational programs.</w:t>
            </w:r>
          </w:p>
          <w:p w14:paraId="6F9E9DBD" w14:textId="7CDA1C2D" w:rsidR="00DA7B56" w:rsidRDefault="00A72D53" w:rsidP="0AA923BF">
            <w:pPr>
              <w:widowControl w:val="0"/>
              <w:numPr>
                <w:ilvl w:val="0"/>
                <w:numId w:val="4"/>
              </w:numPr>
              <w:pBdr>
                <w:top w:val="nil"/>
                <w:left w:val="nil"/>
                <w:bottom w:val="nil"/>
                <w:right w:val="nil"/>
                <w:between w:val="nil"/>
              </w:pBdr>
              <w:tabs>
                <w:tab w:val="left" w:pos="810"/>
              </w:tabs>
              <w:spacing w:before="2" w:line="264" w:lineRule="auto"/>
              <w:ind w:left="810" w:right="367" w:hanging="374"/>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Organizes</w:t>
            </w:r>
            <w:r w:rsidR="0AA923BF" w:rsidRPr="0AA923BF">
              <w:rPr>
                <w:rFonts w:asciiTheme="minorHAnsi" w:eastAsiaTheme="minorEastAsia" w:hAnsiTheme="minorHAnsi" w:cstheme="minorBidi"/>
                <w:color w:val="000000" w:themeColor="text1"/>
              </w:rPr>
              <w:t xml:space="preserve"> student data, both existing and newly collected, to make informed instructional decisions.</w:t>
            </w:r>
          </w:p>
          <w:p w14:paraId="33165F76" w14:textId="5677F68A" w:rsidR="00DA7B56" w:rsidRDefault="586E25FB" w:rsidP="586E25FB">
            <w:pPr>
              <w:widowControl w:val="0"/>
              <w:numPr>
                <w:ilvl w:val="0"/>
                <w:numId w:val="4"/>
              </w:numPr>
              <w:pBdr>
                <w:top w:val="nil"/>
                <w:left w:val="nil"/>
                <w:bottom w:val="nil"/>
                <w:right w:val="nil"/>
                <w:between w:val="nil"/>
              </w:pBdr>
              <w:tabs>
                <w:tab w:val="left" w:pos="810"/>
              </w:tabs>
              <w:spacing w:line="264" w:lineRule="auto"/>
              <w:ind w:left="810" w:right="512" w:hanging="374"/>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Explain</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xml:space="preserve"> the data and data implications for general education instruction.</w:t>
            </w:r>
          </w:p>
          <w:p w14:paraId="7C58F8D2" w14:textId="5339E047" w:rsidR="00DA7B56" w:rsidRDefault="586E25FB" w:rsidP="586E25FB">
            <w:pPr>
              <w:widowControl w:val="0"/>
              <w:numPr>
                <w:ilvl w:val="0"/>
                <w:numId w:val="4"/>
              </w:numPr>
              <w:pBdr>
                <w:top w:val="nil"/>
                <w:left w:val="nil"/>
                <w:bottom w:val="nil"/>
                <w:right w:val="nil"/>
                <w:between w:val="nil"/>
              </w:pBdr>
              <w:tabs>
                <w:tab w:val="left" w:pos="810"/>
              </w:tabs>
              <w:spacing w:line="264" w:lineRule="auto"/>
              <w:ind w:left="810" w:right="163" w:hanging="374"/>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Develop</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xml:space="preserve"> accommodations and modifications to be used in the general education classroom.</w:t>
            </w:r>
          </w:p>
          <w:p w14:paraId="7C4E9103" w14:textId="0A611742" w:rsidR="00DA7B56" w:rsidRDefault="586E25FB" w:rsidP="586E25FB">
            <w:pPr>
              <w:widowControl w:val="0"/>
              <w:numPr>
                <w:ilvl w:val="0"/>
                <w:numId w:val="4"/>
              </w:numPr>
              <w:pBdr>
                <w:top w:val="nil"/>
                <w:left w:val="nil"/>
                <w:bottom w:val="nil"/>
                <w:right w:val="nil"/>
                <w:between w:val="nil"/>
              </w:pBdr>
              <w:tabs>
                <w:tab w:val="left" w:pos="810"/>
              </w:tabs>
              <w:spacing w:line="264" w:lineRule="auto"/>
              <w:ind w:left="810" w:right="163" w:hanging="374"/>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Retain</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reuse</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xml:space="preserve">, and </w:t>
            </w:r>
            <w:r w:rsidR="00A72D53">
              <w:rPr>
                <w:rFonts w:asciiTheme="minorHAnsi" w:eastAsiaTheme="minorEastAsia" w:hAnsiTheme="minorHAnsi" w:cstheme="minorBidi"/>
                <w:color w:val="000000" w:themeColor="text1"/>
              </w:rPr>
              <w:t>elaborates on</w:t>
            </w:r>
            <w:r w:rsidRPr="586E25FB">
              <w:rPr>
                <w:rFonts w:asciiTheme="minorHAnsi" w:eastAsiaTheme="minorEastAsia" w:hAnsiTheme="minorHAnsi" w:cstheme="minorBidi"/>
                <w:color w:val="000000" w:themeColor="text1"/>
              </w:rPr>
              <w:t xml:space="preserve"> practices that improve student learning while discarding those that do not.</w:t>
            </w:r>
          </w:p>
        </w:tc>
        <w:tc>
          <w:tcPr>
            <w:tcW w:w="4675" w:type="dxa"/>
          </w:tcPr>
          <w:p w14:paraId="6D1E22B0" w14:textId="77777777" w:rsidR="00DA7B56" w:rsidRDefault="586E25FB" w:rsidP="586E25FB">
            <w:pPr>
              <w:widowControl w:val="0"/>
              <w:pBdr>
                <w:top w:val="nil"/>
                <w:left w:val="nil"/>
                <w:bottom w:val="nil"/>
                <w:right w:val="nil"/>
                <w:between w:val="nil"/>
              </w:pBdr>
              <w:spacing w:before="64" w:line="261" w:lineRule="auto"/>
              <w:ind w:right="232"/>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You will be an upper elementary, general education teacher who has Harrison in your class.</w:t>
            </w:r>
          </w:p>
          <w:p w14:paraId="3825AADB" w14:textId="77777777" w:rsidR="00DA7B56" w:rsidRDefault="00DA7B56" w:rsidP="586E25FB">
            <w:pPr>
              <w:widowControl w:val="0"/>
              <w:pBdr>
                <w:top w:val="nil"/>
                <w:left w:val="nil"/>
                <w:bottom w:val="nil"/>
                <w:right w:val="nil"/>
                <w:between w:val="nil"/>
              </w:pBdr>
              <w:spacing w:before="8"/>
              <w:rPr>
                <w:rFonts w:asciiTheme="minorHAnsi" w:eastAsiaTheme="minorEastAsia" w:hAnsiTheme="minorHAnsi" w:cstheme="minorBidi"/>
                <w:color w:val="000000"/>
              </w:rPr>
            </w:pPr>
          </w:p>
          <w:p w14:paraId="18186336"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If the special education teacher has interpreted the data correctly, they will be able to explain Harrison’s needs in the general education setting. Most of the conversation should focus on reading fluency needs.</w:t>
            </w:r>
          </w:p>
        </w:tc>
      </w:tr>
      <w:tr w:rsidR="00DA7B56" w14:paraId="0A9A1EA9" w14:textId="77777777" w:rsidTr="0AA923BF">
        <w:tc>
          <w:tcPr>
            <w:tcW w:w="4675" w:type="dxa"/>
          </w:tcPr>
          <w:p w14:paraId="51787ED4"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MISS</w:t>
            </w:r>
          </w:p>
        </w:tc>
        <w:tc>
          <w:tcPr>
            <w:tcW w:w="4675" w:type="dxa"/>
          </w:tcPr>
          <w:p w14:paraId="16A67318"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MISS</w:t>
            </w:r>
          </w:p>
        </w:tc>
      </w:tr>
      <w:tr w:rsidR="00DA7B56" w14:paraId="57326EFA" w14:textId="77777777" w:rsidTr="0AA923BF">
        <w:tc>
          <w:tcPr>
            <w:tcW w:w="4675" w:type="dxa"/>
          </w:tcPr>
          <w:p w14:paraId="5597030C" w14:textId="5353EEF7" w:rsidR="00DA7B56" w:rsidRDefault="0AA923BF" w:rsidP="0AA923BF">
            <w:pPr>
              <w:widowControl w:val="0"/>
              <w:numPr>
                <w:ilvl w:val="0"/>
                <w:numId w:val="2"/>
              </w:numPr>
              <w:pBdr>
                <w:top w:val="nil"/>
                <w:left w:val="nil"/>
                <w:bottom w:val="nil"/>
                <w:right w:val="nil"/>
                <w:between w:val="nil"/>
              </w:pBdr>
              <w:spacing w:before="38"/>
              <w:rPr>
                <w:rFonts w:asciiTheme="minorHAnsi" w:eastAsiaTheme="minorEastAsia" w:hAnsiTheme="minorHAnsi" w:cstheme="minorBidi"/>
                <w:b/>
                <w:bCs/>
                <w:color w:val="000000"/>
              </w:rPr>
            </w:pPr>
            <w:r w:rsidRPr="0AA923BF">
              <w:rPr>
                <w:rFonts w:asciiTheme="minorHAnsi" w:eastAsiaTheme="minorEastAsia" w:hAnsiTheme="minorHAnsi" w:cstheme="minorBidi"/>
                <w:color w:val="000000" w:themeColor="text1"/>
              </w:rPr>
              <w:t>If teacher does not use or accurately use data or is not prepared.</w:t>
            </w:r>
          </w:p>
          <w:p w14:paraId="1D5CD268" w14:textId="77777777" w:rsidR="00DA7B56" w:rsidRDefault="586E25FB" w:rsidP="586E25FB">
            <w:pPr>
              <w:widowControl w:val="0"/>
              <w:numPr>
                <w:ilvl w:val="0"/>
                <w:numId w:val="2"/>
              </w:numPr>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color w:val="000000" w:themeColor="text1"/>
              </w:rPr>
              <w:t>If teacher cannot make suggestions for continued instructional strategies that support Harrison’s progress.</w:t>
            </w:r>
          </w:p>
          <w:p w14:paraId="0D009A9A" w14:textId="77777777" w:rsidR="00DA7B56" w:rsidRDefault="586E25FB" w:rsidP="586E25FB">
            <w:pPr>
              <w:widowControl w:val="0"/>
              <w:numPr>
                <w:ilvl w:val="0"/>
                <w:numId w:val="2"/>
              </w:numPr>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color w:val="000000" w:themeColor="text1"/>
              </w:rPr>
              <w:t>If teacher cannot respond to the general education teacher in the simulation or role play.</w:t>
            </w:r>
          </w:p>
        </w:tc>
        <w:tc>
          <w:tcPr>
            <w:tcW w:w="4675" w:type="dxa"/>
          </w:tcPr>
          <w:p w14:paraId="6B37CFF9" w14:textId="251C73F6" w:rsidR="00DA7B56" w:rsidRDefault="586E25FB" w:rsidP="586E25FB">
            <w:pPr>
              <w:widowControl w:val="0"/>
              <w:numPr>
                <w:ilvl w:val="0"/>
                <w:numId w:val="2"/>
              </w:numPr>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color w:val="000000" w:themeColor="text1"/>
              </w:rPr>
              <w:t xml:space="preserve">If the special education teacher is not prepared and does not make suggestions that coincide with Harrison’s informal assessment data, the general education teacher can disagree with the special education teacher’s recommendations or ask </w:t>
            </w:r>
            <w:r w:rsidR="00A72D53">
              <w:rPr>
                <w:rFonts w:asciiTheme="minorHAnsi" w:eastAsiaTheme="minorEastAsia" w:hAnsiTheme="minorHAnsi" w:cstheme="minorBidi"/>
                <w:color w:val="000000" w:themeColor="text1"/>
              </w:rPr>
              <w:t xml:space="preserve">multiple </w:t>
            </w:r>
            <w:r w:rsidRPr="586E25FB">
              <w:rPr>
                <w:rFonts w:asciiTheme="minorHAnsi" w:eastAsiaTheme="minorEastAsia" w:hAnsiTheme="minorHAnsi" w:cstheme="minorBidi"/>
                <w:color w:val="000000" w:themeColor="text1"/>
              </w:rPr>
              <w:t>questions to clarify.</w:t>
            </w:r>
          </w:p>
        </w:tc>
      </w:tr>
    </w:tbl>
    <w:p w14:paraId="44D85FD6" w14:textId="77777777" w:rsidR="00DA7B56" w:rsidRDefault="00DA7B56" w:rsidP="586E25FB">
      <w:pPr>
        <w:widowControl w:val="0"/>
        <w:pBdr>
          <w:top w:val="nil"/>
          <w:left w:val="nil"/>
          <w:bottom w:val="nil"/>
          <w:right w:val="nil"/>
          <w:between w:val="nil"/>
        </w:pBdr>
        <w:spacing w:before="38"/>
        <w:rPr>
          <w:rFonts w:asciiTheme="minorHAnsi" w:eastAsiaTheme="minorEastAsia" w:hAnsiTheme="minorHAnsi" w:cstheme="minorBidi"/>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A7B56" w14:paraId="230EE908" w14:textId="77777777" w:rsidTr="0AA923BF">
        <w:tc>
          <w:tcPr>
            <w:tcW w:w="4675" w:type="dxa"/>
          </w:tcPr>
          <w:p w14:paraId="3BE1679D"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lastRenderedPageBreak/>
              <w:t>When general education teacher participants…</w:t>
            </w:r>
          </w:p>
        </w:tc>
        <w:tc>
          <w:tcPr>
            <w:tcW w:w="4675" w:type="dxa"/>
          </w:tcPr>
          <w:p w14:paraId="5150C7D4"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The special education avatar will…</w:t>
            </w:r>
          </w:p>
        </w:tc>
      </w:tr>
      <w:tr w:rsidR="00DA7B56" w14:paraId="0B6472A7" w14:textId="77777777" w:rsidTr="0AA923BF">
        <w:tc>
          <w:tcPr>
            <w:tcW w:w="4675" w:type="dxa"/>
          </w:tcPr>
          <w:p w14:paraId="0E0EA9A8"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HIT</w:t>
            </w:r>
          </w:p>
        </w:tc>
        <w:tc>
          <w:tcPr>
            <w:tcW w:w="4675" w:type="dxa"/>
          </w:tcPr>
          <w:p w14:paraId="638F4C06"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HIT</w:t>
            </w:r>
          </w:p>
        </w:tc>
      </w:tr>
      <w:tr w:rsidR="00DA7B56" w14:paraId="54005D0B" w14:textId="77777777" w:rsidTr="0AA923BF">
        <w:tc>
          <w:tcPr>
            <w:tcW w:w="4675" w:type="dxa"/>
          </w:tcPr>
          <w:p w14:paraId="278F166F" w14:textId="2E323723" w:rsidR="00DA7B56" w:rsidRDefault="586E25FB" w:rsidP="00A72D53">
            <w:pPr>
              <w:widowControl w:val="0"/>
              <w:pBdr>
                <w:top w:val="nil"/>
                <w:left w:val="nil"/>
                <w:bottom w:val="nil"/>
                <w:right w:val="nil"/>
                <w:between w:val="nil"/>
              </w:pBdr>
              <w:spacing w:before="64" w:line="261" w:lineRule="auto"/>
              <w:ind w:right="374" w:hanging="20"/>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 interpret and communicate assessment information with stakeholders to collaboratively design and implement educational programs.</w:t>
            </w:r>
          </w:p>
          <w:p w14:paraId="375C68C8" w14:textId="20C9A6F5" w:rsidR="00DA7B56" w:rsidRDefault="00A72D53" w:rsidP="00A72D53">
            <w:pPr>
              <w:widowControl w:val="0"/>
              <w:numPr>
                <w:ilvl w:val="0"/>
                <w:numId w:val="1"/>
              </w:numPr>
              <w:pBdr>
                <w:top w:val="nil"/>
                <w:left w:val="nil"/>
                <w:bottom w:val="nil"/>
                <w:right w:val="nil"/>
                <w:between w:val="nil"/>
              </w:pBdr>
              <w:tabs>
                <w:tab w:val="left" w:pos="1119"/>
                <w:tab w:val="left" w:pos="1120"/>
              </w:tabs>
              <w:spacing w:line="283" w:lineRule="auto"/>
              <w:ind w:left="430" w:right="346" w:hanging="268"/>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 xml:space="preserve">Organizes </w:t>
            </w:r>
            <w:r w:rsidR="586E25FB" w:rsidRPr="586E25FB">
              <w:rPr>
                <w:rFonts w:asciiTheme="minorHAnsi" w:eastAsiaTheme="minorEastAsia" w:hAnsiTheme="minorHAnsi" w:cstheme="minorBidi"/>
                <w:color w:val="000000" w:themeColor="text1"/>
              </w:rPr>
              <w:t>student data, both existing and newly collected, to make informed instructional decisions and implications.</w:t>
            </w:r>
          </w:p>
          <w:p w14:paraId="6F2C8CEE" w14:textId="49C605EF" w:rsidR="00DA7B56" w:rsidRDefault="586E25FB" w:rsidP="00A72D53">
            <w:pPr>
              <w:widowControl w:val="0"/>
              <w:numPr>
                <w:ilvl w:val="0"/>
                <w:numId w:val="1"/>
              </w:numPr>
              <w:pBdr>
                <w:top w:val="nil"/>
                <w:left w:val="nil"/>
                <w:bottom w:val="nil"/>
                <w:right w:val="nil"/>
                <w:between w:val="nil"/>
              </w:pBdr>
              <w:tabs>
                <w:tab w:val="left" w:pos="1119"/>
                <w:tab w:val="left" w:pos="1120"/>
              </w:tabs>
              <w:spacing w:line="283" w:lineRule="auto"/>
              <w:ind w:left="430" w:right="375" w:hanging="268"/>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Explain</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xml:space="preserve"> the work samples, data, and implications for Harrison’s progress in the general education classroom, as related to his Individualized Education Plan (IEP).</w:t>
            </w:r>
          </w:p>
          <w:p w14:paraId="1B278338" w14:textId="0E4F1987" w:rsidR="00DA7B56" w:rsidRDefault="586E25FB" w:rsidP="00A72D53">
            <w:pPr>
              <w:widowControl w:val="0"/>
              <w:numPr>
                <w:ilvl w:val="0"/>
                <w:numId w:val="1"/>
              </w:numPr>
              <w:pBdr>
                <w:top w:val="nil"/>
                <w:left w:val="nil"/>
                <w:bottom w:val="nil"/>
                <w:right w:val="nil"/>
                <w:between w:val="nil"/>
              </w:pBdr>
              <w:tabs>
                <w:tab w:val="left" w:pos="1119"/>
                <w:tab w:val="left" w:pos="1120"/>
              </w:tabs>
              <w:spacing w:line="283" w:lineRule="auto"/>
              <w:ind w:left="430" w:right="94" w:hanging="268"/>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Discuss</w:t>
            </w:r>
            <w:r w:rsidR="00A72D53">
              <w:rPr>
                <w:rFonts w:asciiTheme="minorHAnsi" w:eastAsiaTheme="minorEastAsia" w:hAnsiTheme="minorHAnsi" w:cstheme="minorBidi"/>
                <w:color w:val="000000" w:themeColor="text1"/>
              </w:rPr>
              <w:t>es</w:t>
            </w:r>
            <w:r w:rsidRPr="586E25FB">
              <w:rPr>
                <w:rFonts w:asciiTheme="minorHAnsi" w:eastAsiaTheme="minorEastAsia" w:hAnsiTheme="minorHAnsi" w:cstheme="minorBidi"/>
                <w:color w:val="000000" w:themeColor="text1"/>
              </w:rPr>
              <w:t xml:space="preserve"> Harrison’s accommodations and modifications used in the general education classroom that best support his learning and progression.</w:t>
            </w:r>
          </w:p>
          <w:p w14:paraId="55E1BF74" w14:textId="1FEE922A" w:rsidR="00DA7B56" w:rsidRDefault="586E25FB" w:rsidP="00A72D53">
            <w:pPr>
              <w:widowControl w:val="0"/>
              <w:numPr>
                <w:ilvl w:val="0"/>
                <w:numId w:val="1"/>
              </w:numPr>
              <w:pBdr>
                <w:top w:val="nil"/>
                <w:left w:val="nil"/>
                <w:bottom w:val="nil"/>
                <w:right w:val="nil"/>
                <w:between w:val="nil"/>
              </w:pBdr>
              <w:tabs>
                <w:tab w:val="left" w:pos="1119"/>
                <w:tab w:val="left" w:pos="1120"/>
              </w:tabs>
              <w:spacing w:line="283" w:lineRule="auto"/>
              <w:ind w:left="430" w:right="94" w:hanging="268"/>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Retain</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reuse</w:t>
            </w:r>
            <w:r w:rsidR="00A72D53">
              <w:rPr>
                <w:rFonts w:asciiTheme="minorHAnsi" w:eastAsiaTheme="minorEastAsia" w:hAnsiTheme="minorHAnsi" w:cstheme="minorBidi"/>
                <w:color w:val="000000" w:themeColor="text1"/>
              </w:rPr>
              <w:t>s</w:t>
            </w:r>
            <w:r w:rsidRPr="586E25FB">
              <w:rPr>
                <w:rFonts w:asciiTheme="minorHAnsi" w:eastAsiaTheme="minorEastAsia" w:hAnsiTheme="minorHAnsi" w:cstheme="minorBidi"/>
                <w:color w:val="000000" w:themeColor="text1"/>
              </w:rPr>
              <w:t xml:space="preserve">, and </w:t>
            </w:r>
            <w:r w:rsidR="00A72D53">
              <w:rPr>
                <w:rFonts w:asciiTheme="minorHAnsi" w:eastAsiaTheme="minorEastAsia" w:hAnsiTheme="minorHAnsi" w:cstheme="minorBidi"/>
                <w:color w:val="000000" w:themeColor="text1"/>
              </w:rPr>
              <w:t>elaborates on</w:t>
            </w:r>
            <w:r w:rsidRPr="586E25FB">
              <w:rPr>
                <w:rFonts w:asciiTheme="minorHAnsi" w:eastAsiaTheme="minorEastAsia" w:hAnsiTheme="minorHAnsi" w:cstheme="minorBidi"/>
                <w:color w:val="000000" w:themeColor="text1"/>
              </w:rPr>
              <w:t xml:space="preserve"> practices that improve student learning while discarding those that do not.</w:t>
            </w:r>
          </w:p>
        </w:tc>
        <w:tc>
          <w:tcPr>
            <w:tcW w:w="4675" w:type="dxa"/>
          </w:tcPr>
          <w:p w14:paraId="507AA340" w14:textId="1E6A13E6" w:rsidR="00DA7B56" w:rsidRDefault="586E25FB" w:rsidP="586E25FB">
            <w:pPr>
              <w:widowControl w:val="0"/>
              <w:pBdr>
                <w:top w:val="nil"/>
                <w:left w:val="nil"/>
                <w:bottom w:val="nil"/>
                <w:right w:val="nil"/>
                <w:between w:val="nil"/>
              </w:pBdr>
              <w:spacing w:before="78" w:line="283" w:lineRule="auto"/>
              <w:ind w:left="73" w:right="109"/>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You will be an upper elementary, special teacher who supports Harrison in the general education classroom.</w:t>
            </w:r>
          </w:p>
          <w:p w14:paraId="0BD5AD7D" w14:textId="77777777" w:rsidR="00DA7B56" w:rsidRDefault="00DA7B56" w:rsidP="586E25FB">
            <w:pPr>
              <w:widowControl w:val="0"/>
              <w:pBdr>
                <w:top w:val="nil"/>
                <w:left w:val="nil"/>
                <w:bottom w:val="nil"/>
                <w:right w:val="nil"/>
                <w:between w:val="nil"/>
              </w:pBdr>
              <w:spacing w:before="10"/>
              <w:rPr>
                <w:rFonts w:asciiTheme="minorHAnsi" w:eastAsiaTheme="minorEastAsia" w:hAnsiTheme="minorHAnsi" w:cstheme="minorBidi"/>
                <w:b/>
                <w:bCs/>
                <w:color w:val="000000"/>
              </w:rPr>
            </w:pPr>
          </w:p>
          <w:p w14:paraId="1F6D42B8" w14:textId="77777777" w:rsidR="00DA7B56" w:rsidRDefault="0AA923BF" w:rsidP="0AA923BF">
            <w:pPr>
              <w:widowControl w:val="0"/>
              <w:pBdr>
                <w:top w:val="nil"/>
                <w:left w:val="nil"/>
                <w:bottom w:val="nil"/>
                <w:right w:val="nil"/>
                <w:between w:val="nil"/>
              </w:pBdr>
              <w:tabs>
                <w:tab w:val="left" w:pos="1119"/>
                <w:tab w:val="left" w:pos="1120"/>
              </w:tabs>
              <w:spacing w:before="1" w:line="283" w:lineRule="auto"/>
              <w:ind w:right="55"/>
              <w:rPr>
                <w:rFonts w:asciiTheme="minorHAnsi" w:eastAsiaTheme="minorEastAsia" w:hAnsiTheme="minorHAnsi" w:cstheme="minorBidi"/>
                <w:color w:val="000000"/>
              </w:rPr>
            </w:pPr>
            <w:r w:rsidRPr="0AA923BF">
              <w:rPr>
                <w:rFonts w:asciiTheme="minorHAnsi" w:eastAsiaTheme="minorEastAsia" w:hAnsiTheme="minorHAnsi" w:cstheme="minorBidi"/>
                <w:color w:val="000000" w:themeColor="text1"/>
              </w:rPr>
              <w:t>If the general education teacher has discussed the classroom work samples and data from those work samples correctly, the special education teacher will be able to discuss how to support Harrison’s needs in the general education setting.</w:t>
            </w:r>
          </w:p>
          <w:p w14:paraId="3DA54A10" w14:textId="77777777" w:rsidR="00DA7B56" w:rsidRDefault="00DA7B56" w:rsidP="586E25FB">
            <w:pPr>
              <w:widowControl w:val="0"/>
              <w:pBdr>
                <w:top w:val="nil"/>
                <w:left w:val="nil"/>
                <w:bottom w:val="nil"/>
                <w:right w:val="nil"/>
                <w:between w:val="nil"/>
              </w:pBdr>
              <w:rPr>
                <w:rFonts w:asciiTheme="minorHAnsi" w:eastAsiaTheme="minorEastAsia" w:hAnsiTheme="minorHAnsi" w:cstheme="minorBidi"/>
                <w:b/>
                <w:bCs/>
                <w:color w:val="000000"/>
              </w:rPr>
            </w:pPr>
          </w:p>
          <w:p w14:paraId="09170AA7"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color w:val="000000"/>
              </w:rPr>
            </w:pPr>
            <w:r w:rsidRPr="586E25FB">
              <w:rPr>
                <w:rFonts w:asciiTheme="minorHAnsi" w:eastAsiaTheme="minorEastAsia" w:hAnsiTheme="minorHAnsi" w:cstheme="minorBidi"/>
                <w:i/>
                <w:iCs/>
                <w:color w:val="000000" w:themeColor="text1"/>
              </w:rPr>
              <w:t xml:space="preserve">*** NOTE- Most of the conversation should focus on informal assessment data. </w:t>
            </w:r>
          </w:p>
        </w:tc>
      </w:tr>
      <w:tr w:rsidR="00DA7B56" w14:paraId="183EB2C2" w14:textId="77777777" w:rsidTr="0AA923BF">
        <w:tc>
          <w:tcPr>
            <w:tcW w:w="4675" w:type="dxa"/>
          </w:tcPr>
          <w:p w14:paraId="2CFE4790"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MISS</w:t>
            </w:r>
          </w:p>
        </w:tc>
        <w:tc>
          <w:tcPr>
            <w:tcW w:w="4675" w:type="dxa"/>
          </w:tcPr>
          <w:p w14:paraId="320C2D9D" w14:textId="77777777" w:rsidR="00DA7B56" w:rsidRDefault="586E25FB" w:rsidP="586E25FB">
            <w:pPr>
              <w:widowControl w:val="0"/>
              <w:pBdr>
                <w:top w:val="nil"/>
                <w:left w:val="nil"/>
                <w:bottom w:val="nil"/>
                <w:right w:val="nil"/>
                <w:between w:val="nil"/>
              </w:pBdr>
              <w:spacing w:before="38"/>
              <w:rPr>
                <w:rFonts w:asciiTheme="minorHAnsi" w:eastAsiaTheme="minorEastAsia" w:hAnsiTheme="minorHAnsi" w:cstheme="minorBidi"/>
                <w:b/>
                <w:bCs/>
                <w:color w:val="000000"/>
              </w:rPr>
            </w:pPr>
            <w:r w:rsidRPr="586E25FB">
              <w:rPr>
                <w:rFonts w:asciiTheme="minorHAnsi" w:eastAsiaTheme="minorEastAsia" w:hAnsiTheme="minorHAnsi" w:cstheme="minorBidi"/>
                <w:b/>
                <w:bCs/>
                <w:color w:val="000000" w:themeColor="text1"/>
              </w:rPr>
              <w:t>MISS</w:t>
            </w:r>
          </w:p>
        </w:tc>
      </w:tr>
      <w:tr w:rsidR="00DA7B56" w14:paraId="49BF2021" w14:textId="77777777" w:rsidTr="0AA923BF">
        <w:tc>
          <w:tcPr>
            <w:tcW w:w="4675" w:type="dxa"/>
          </w:tcPr>
          <w:p w14:paraId="385C8455" w14:textId="77777777" w:rsidR="00DA7B56" w:rsidRDefault="586E25FB" w:rsidP="586E25FB">
            <w:pPr>
              <w:widowControl w:val="0"/>
              <w:numPr>
                <w:ilvl w:val="0"/>
                <w:numId w:val="2"/>
              </w:numPr>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Teacher cannot accurately explain data and implications for Harrison’s progress in the general education classroom, as related to his IEP annual goal, objectives, and accommodations.</w:t>
            </w:r>
          </w:p>
          <w:p w14:paraId="504D9223" w14:textId="77777777" w:rsidR="00DA7B56" w:rsidRDefault="00DA7B56" w:rsidP="586E25FB">
            <w:pPr>
              <w:widowControl w:val="0"/>
              <w:pBdr>
                <w:top w:val="nil"/>
                <w:left w:val="nil"/>
                <w:bottom w:val="nil"/>
                <w:right w:val="nil"/>
                <w:between w:val="nil"/>
              </w:pBdr>
              <w:spacing w:before="1"/>
              <w:rPr>
                <w:rFonts w:asciiTheme="minorHAnsi" w:eastAsiaTheme="minorEastAsia" w:hAnsiTheme="minorHAnsi" w:cstheme="minorBidi"/>
                <w:b/>
                <w:bCs/>
                <w:color w:val="000000"/>
              </w:rPr>
            </w:pPr>
          </w:p>
          <w:p w14:paraId="4AEC19B6" w14:textId="77777777" w:rsidR="00DA7B56" w:rsidRDefault="586E25FB" w:rsidP="586E25FB">
            <w:pPr>
              <w:widowControl w:val="0"/>
              <w:numPr>
                <w:ilvl w:val="0"/>
                <w:numId w:val="2"/>
              </w:numPr>
              <w:pBdr>
                <w:top w:val="nil"/>
                <w:left w:val="nil"/>
                <w:bottom w:val="nil"/>
                <w:right w:val="nil"/>
                <w:between w:val="nil"/>
              </w:pBdr>
              <w:tabs>
                <w:tab w:val="left" w:pos="1119"/>
                <w:tab w:val="left" w:pos="1120"/>
              </w:tabs>
              <w:spacing w:before="1" w:line="283" w:lineRule="auto"/>
              <w:ind w:right="163"/>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t>Teacher cannot accurately discuss Harrison’s accommodations that are used in the general education classroom to best support his learning and progression.</w:t>
            </w:r>
          </w:p>
          <w:p w14:paraId="5EA34284" w14:textId="77777777" w:rsidR="00DA7B56" w:rsidRDefault="00DA7B56" w:rsidP="586E25FB">
            <w:pPr>
              <w:widowControl w:val="0"/>
              <w:pBdr>
                <w:top w:val="nil"/>
                <w:left w:val="nil"/>
                <w:bottom w:val="nil"/>
                <w:right w:val="nil"/>
                <w:between w:val="nil"/>
              </w:pBdr>
              <w:spacing w:before="9"/>
              <w:rPr>
                <w:rFonts w:asciiTheme="minorHAnsi" w:eastAsiaTheme="minorEastAsia" w:hAnsiTheme="minorHAnsi" w:cstheme="minorBidi"/>
                <w:b/>
                <w:bCs/>
                <w:color w:val="000000"/>
              </w:rPr>
            </w:pPr>
          </w:p>
          <w:p w14:paraId="383BB545" w14:textId="58608ED7" w:rsidR="00DA7B56" w:rsidRDefault="586E25FB" w:rsidP="586E25FB">
            <w:pPr>
              <w:widowControl w:val="0"/>
              <w:numPr>
                <w:ilvl w:val="0"/>
                <w:numId w:val="2"/>
              </w:numPr>
              <w:pBdr>
                <w:top w:val="nil"/>
                <w:left w:val="nil"/>
                <w:bottom w:val="nil"/>
                <w:right w:val="nil"/>
                <w:between w:val="nil"/>
              </w:pBdr>
              <w:tabs>
                <w:tab w:val="left" w:pos="1119"/>
                <w:tab w:val="left" w:pos="1120"/>
              </w:tabs>
              <w:spacing w:line="283" w:lineRule="auto"/>
              <w:ind w:right="94"/>
              <w:rPr>
                <w:rFonts w:asciiTheme="minorHAnsi" w:eastAsiaTheme="minorEastAsia" w:hAnsiTheme="minorHAnsi" w:cstheme="minorBidi"/>
                <w:color w:val="000000"/>
              </w:rPr>
            </w:pPr>
            <w:r w:rsidRPr="586E25FB">
              <w:rPr>
                <w:rFonts w:asciiTheme="minorHAnsi" w:eastAsiaTheme="minorEastAsia" w:hAnsiTheme="minorHAnsi" w:cstheme="minorBidi"/>
                <w:color w:val="000000" w:themeColor="text1"/>
              </w:rPr>
              <w:lastRenderedPageBreak/>
              <w:t>Teacher cannot respond to the special education teacher in the simulation or role play.</w:t>
            </w:r>
          </w:p>
          <w:p w14:paraId="27A06116" w14:textId="5EC7D631" w:rsidR="00DA7B56" w:rsidRDefault="00DA7B56" w:rsidP="00A72D53">
            <w:pPr>
              <w:widowControl w:val="0"/>
              <w:pBdr>
                <w:top w:val="nil"/>
                <w:left w:val="nil"/>
                <w:bottom w:val="nil"/>
                <w:right w:val="nil"/>
                <w:between w:val="nil"/>
              </w:pBdr>
              <w:spacing w:before="38"/>
              <w:rPr>
                <w:rFonts w:asciiTheme="minorHAnsi" w:eastAsiaTheme="minorEastAsia" w:hAnsiTheme="minorHAnsi" w:cstheme="minorBidi"/>
                <w:b/>
                <w:bCs/>
                <w:color w:val="000000"/>
              </w:rPr>
            </w:pPr>
          </w:p>
        </w:tc>
        <w:tc>
          <w:tcPr>
            <w:tcW w:w="4675" w:type="dxa"/>
          </w:tcPr>
          <w:p w14:paraId="40355127" w14:textId="668A32B2" w:rsidR="00DA7B56" w:rsidRDefault="0AA923BF"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color w:val="000000" w:themeColor="text1"/>
              </w:rPr>
            </w:pPr>
            <w:r w:rsidRPr="0AA923BF">
              <w:rPr>
                <w:rFonts w:asciiTheme="minorHAnsi" w:eastAsiaTheme="minorEastAsia" w:hAnsiTheme="minorHAnsi" w:cstheme="minorBidi"/>
                <w:color w:val="000000" w:themeColor="text1"/>
              </w:rPr>
              <w:lastRenderedPageBreak/>
              <w:t>The special education teacher does not make suggestions that coincide with Harrison’s work samples, data, and implications for Harrison’s progress in the general education classroom, as related to his IEP.</w:t>
            </w:r>
          </w:p>
          <w:p w14:paraId="24610303" w14:textId="77777777" w:rsidR="00A72D53" w:rsidRDefault="00A72D53"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color w:val="000000" w:themeColor="text1"/>
              </w:rPr>
            </w:pPr>
          </w:p>
          <w:p w14:paraId="4EDE761F" w14:textId="769C661E" w:rsidR="00A72D53" w:rsidRDefault="00A72D53"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b/>
                <w:bCs/>
                <w:color w:val="000000"/>
              </w:rPr>
            </w:pPr>
            <w:r>
              <w:rPr>
                <w:rFonts w:asciiTheme="minorHAnsi" w:eastAsiaTheme="minorEastAsia" w:hAnsiTheme="minorHAnsi" w:cstheme="minorBidi"/>
                <w:color w:val="000000" w:themeColor="text1"/>
              </w:rPr>
              <w:t>The special education teacher spends time helping the general education teacher organize data.</w:t>
            </w:r>
          </w:p>
          <w:p w14:paraId="30327D38" w14:textId="64284531" w:rsidR="00DA7B56" w:rsidRDefault="00DA7B56"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color w:val="000000"/>
              </w:rPr>
            </w:pPr>
          </w:p>
          <w:p w14:paraId="76802BF6" w14:textId="143A3B73" w:rsidR="00A72D53" w:rsidRDefault="00A72D53"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The special education teacher begins to ask </w:t>
            </w:r>
            <w:r>
              <w:rPr>
                <w:rFonts w:asciiTheme="minorHAnsi" w:eastAsiaTheme="minorEastAsia" w:hAnsiTheme="minorHAnsi" w:cstheme="minorBidi"/>
                <w:color w:val="000000"/>
              </w:rPr>
              <w:lastRenderedPageBreak/>
              <w:t>multiple clarifying questions.</w:t>
            </w:r>
          </w:p>
          <w:p w14:paraId="4E457C5A" w14:textId="77777777" w:rsidR="00A72D53" w:rsidRDefault="00A72D53"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color w:val="000000"/>
              </w:rPr>
            </w:pPr>
          </w:p>
          <w:p w14:paraId="392B35E3" w14:textId="3EF1A825" w:rsidR="00DA7B56" w:rsidRDefault="0AA923BF" w:rsidP="0AA923BF">
            <w:pPr>
              <w:widowControl w:val="0"/>
              <w:pBdr>
                <w:top w:val="nil"/>
                <w:left w:val="nil"/>
                <w:bottom w:val="nil"/>
                <w:right w:val="nil"/>
                <w:between w:val="nil"/>
              </w:pBdr>
              <w:tabs>
                <w:tab w:val="left" w:pos="1119"/>
                <w:tab w:val="left" w:pos="1120"/>
              </w:tabs>
              <w:spacing w:before="78" w:line="283" w:lineRule="auto"/>
              <w:ind w:right="74"/>
              <w:rPr>
                <w:rFonts w:asciiTheme="minorHAnsi" w:eastAsiaTheme="minorEastAsia" w:hAnsiTheme="minorHAnsi" w:cstheme="minorBidi"/>
                <w:b/>
                <w:bCs/>
                <w:color w:val="000000"/>
              </w:rPr>
            </w:pPr>
            <w:r w:rsidRPr="0AA923BF">
              <w:rPr>
                <w:rFonts w:asciiTheme="minorHAnsi" w:eastAsiaTheme="minorEastAsia" w:hAnsiTheme="minorHAnsi" w:cstheme="minorBidi"/>
                <w:color w:val="000000" w:themeColor="text1"/>
              </w:rPr>
              <w:t>The special education teacher cannot accurately discuss and/or add to the discussion regarding Harrison’s accommodations that are used in the general education classroom to best support his learning and progression.</w:t>
            </w:r>
          </w:p>
        </w:tc>
      </w:tr>
    </w:tbl>
    <w:p w14:paraId="7D434EAA" w14:textId="77777777" w:rsidR="0058443E" w:rsidRDefault="0058443E" w:rsidP="586E25FB">
      <w:pPr>
        <w:rPr>
          <w:rFonts w:asciiTheme="minorHAnsi" w:eastAsiaTheme="minorEastAsia" w:hAnsiTheme="minorHAnsi" w:cstheme="minorBidi"/>
        </w:rPr>
      </w:pPr>
    </w:p>
    <w:sectPr w:rsidR="0058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E2E"/>
    <w:multiLevelType w:val="multilevel"/>
    <w:tmpl w:val="C2AAA546"/>
    <w:lvl w:ilvl="0">
      <w:numFmt w:val="bullet"/>
      <w:lvlText w:val="●"/>
      <w:lvlJc w:val="left"/>
      <w:pPr>
        <w:ind w:left="436" w:hanging="684"/>
      </w:pPr>
      <w:rPr>
        <w:rFonts w:ascii="Times New Roman" w:eastAsia="Times New Roman" w:hAnsi="Times New Roman" w:cs="Times New Roman"/>
        <w:sz w:val="17"/>
        <w:szCs w:val="17"/>
      </w:rPr>
    </w:lvl>
    <w:lvl w:ilvl="1">
      <w:numFmt w:val="bullet"/>
      <w:lvlText w:val="•"/>
      <w:lvlJc w:val="left"/>
      <w:pPr>
        <w:ind w:left="733" w:hanging="684"/>
      </w:pPr>
    </w:lvl>
    <w:lvl w:ilvl="2">
      <w:numFmt w:val="bullet"/>
      <w:lvlText w:val="•"/>
      <w:lvlJc w:val="left"/>
      <w:pPr>
        <w:ind w:left="1027" w:hanging="684"/>
      </w:pPr>
    </w:lvl>
    <w:lvl w:ilvl="3">
      <w:numFmt w:val="bullet"/>
      <w:lvlText w:val="•"/>
      <w:lvlJc w:val="left"/>
      <w:pPr>
        <w:ind w:left="1320" w:hanging="684"/>
      </w:pPr>
    </w:lvl>
    <w:lvl w:ilvl="4">
      <w:numFmt w:val="bullet"/>
      <w:lvlText w:val="•"/>
      <w:lvlJc w:val="left"/>
      <w:pPr>
        <w:ind w:left="1614" w:hanging="684"/>
      </w:pPr>
    </w:lvl>
    <w:lvl w:ilvl="5">
      <w:numFmt w:val="bullet"/>
      <w:lvlText w:val="•"/>
      <w:lvlJc w:val="left"/>
      <w:pPr>
        <w:ind w:left="1907" w:hanging="684"/>
      </w:pPr>
    </w:lvl>
    <w:lvl w:ilvl="6">
      <w:numFmt w:val="bullet"/>
      <w:lvlText w:val="•"/>
      <w:lvlJc w:val="left"/>
      <w:pPr>
        <w:ind w:left="2201" w:hanging="684"/>
      </w:pPr>
    </w:lvl>
    <w:lvl w:ilvl="7">
      <w:numFmt w:val="bullet"/>
      <w:lvlText w:val="•"/>
      <w:lvlJc w:val="left"/>
      <w:pPr>
        <w:ind w:left="2494" w:hanging="684"/>
      </w:pPr>
    </w:lvl>
    <w:lvl w:ilvl="8">
      <w:numFmt w:val="bullet"/>
      <w:lvlText w:val="•"/>
      <w:lvlJc w:val="left"/>
      <w:pPr>
        <w:ind w:left="2788" w:hanging="684"/>
      </w:pPr>
    </w:lvl>
  </w:abstractNum>
  <w:abstractNum w:abstractNumId="1" w15:restartNumberingAfterBreak="0">
    <w:nsid w:val="1AC93A0B"/>
    <w:multiLevelType w:val="multilevel"/>
    <w:tmpl w:val="E6225BF2"/>
    <w:lvl w:ilvl="0">
      <w:numFmt w:val="bullet"/>
      <w:lvlText w:val="●"/>
      <w:lvlJc w:val="left"/>
      <w:pPr>
        <w:ind w:left="596" w:hanging="524"/>
      </w:pPr>
      <w:rPr>
        <w:rFonts w:ascii="Times New Roman" w:eastAsia="Times New Roman" w:hAnsi="Times New Roman" w:cs="Times New Roman"/>
        <w:sz w:val="17"/>
        <w:szCs w:val="17"/>
      </w:rPr>
    </w:lvl>
    <w:lvl w:ilvl="1">
      <w:numFmt w:val="bullet"/>
      <w:lvlText w:val="•"/>
      <w:lvlJc w:val="left"/>
      <w:pPr>
        <w:ind w:left="877" w:hanging="524"/>
      </w:pPr>
    </w:lvl>
    <w:lvl w:ilvl="2">
      <w:numFmt w:val="bullet"/>
      <w:lvlText w:val="•"/>
      <w:lvlJc w:val="left"/>
      <w:pPr>
        <w:ind w:left="1155" w:hanging="524"/>
      </w:pPr>
    </w:lvl>
    <w:lvl w:ilvl="3">
      <w:numFmt w:val="bullet"/>
      <w:lvlText w:val="•"/>
      <w:lvlJc w:val="left"/>
      <w:pPr>
        <w:ind w:left="1432" w:hanging="524"/>
      </w:pPr>
    </w:lvl>
    <w:lvl w:ilvl="4">
      <w:numFmt w:val="bullet"/>
      <w:lvlText w:val="•"/>
      <w:lvlJc w:val="left"/>
      <w:pPr>
        <w:ind w:left="1710" w:hanging="524"/>
      </w:pPr>
    </w:lvl>
    <w:lvl w:ilvl="5">
      <w:numFmt w:val="bullet"/>
      <w:lvlText w:val="•"/>
      <w:lvlJc w:val="left"/>
      <w:pPr>
        <w:ind w:left="1987" w:hanging="524"/>
      </w:pPr>
    </w:lvl>
    <w:lvl w:ilvl="6">
      <w:numFmt w:val="bullet"/>
      <w:lvlText w:val="•"/>
      <w:lvlJc w:val="left"/>
      <w:pPr>
        <w:ind w:left="2265" w:hanging="524"/>
      </w:pPr>
    </w:lvl>
    <w:lvl w:ilvl="7">
      <w:numFmt w:val="bullet"/>
      <w:lvlText w:val="•"/>
      <w:lvlJc w:val="left"/>
      <w:pPr>
        <w:ind w:left="2542" w:hanging="524"/>
      </w:pPr>
    </w:lvl>
    <w:lvl w:ilvl="8">
      <w:numFmt w:val="bullet"/>
      <w:lvlText w:val="•"/>
      <w:lvlJc w:val="left"/>
      <w:pPr>
        <w:ind w:left="2820" w:hanging="524"/>
      </w:pPr>
    </w:lvl>
  </w:abstractNum>
  <w:abstractNum w:abstractNumId="2" w15:restartNumberingAfterBreak="0">
    <w:nsid w:val="3A231BE4"/>
    <w:multiLevelType w:val="multilevel"/>
    <w:tmpl w:val="467C659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F41B54"/>
    <w:multiLevelType w:val="multilevel"/>
    <w:tmpl w:val="5D1085AE"/>
    <w:lvl w:ilvl="0">
      <w:numFmt w:val="bullet"/>
      <w:lvlText w:val="●"/>
      <w:lvlJc w:val="left"/>
      <w:pPr>
        <w:ind w:left="436" w:hanging="684"/>
      </w:pPr>
      <w:rPr>
        <w:rFonts w:ascii="Times New Roman" w:eastAsia="Times New Roman" w:hAnsi="Times New Roman" w:cs="Times New Roman"/>
        <w:sz w:val="17"/>
        <w:szCs w:val="17"/>
      </w:rPr>
    </w:lvl>
    <w:lvl w:ilvl="1">
      <w:numFmt w:val="bullet"/>
      <w:lvlText w:val="•"/>
      <w:lvlJc w:val="left"/>
      <w:pPr>
        <w:ind w:left="735" w:hanging="684"/>
      </w:pPr>
    </w:lvl>
    <w:lvl w:ilvl="2">
      <w:numFmt w:val="bullet"/>
      <w:lvlText w:val="•"/>
      <w:lvlJc w:val="left"/>
      <w:pPr>
        <w:ind w:left="1031" w:hanging="684"/>
      </w:pPr>
    </w:lvl>
    <w:lvl w:ilvl="3">
      <w:numFmt w:val="bullet"/>
      <w:lvlText w:val="•"/>
      <w:lvlJc w:val="left"/>
      <w:pPr>
        <w:ind w:left="1326" w:hanging="684"/>
      </w:pPr>
    </w:lvl>
    <w:lvl w:ilvl="4">
      <w:numFmt w:val="bullet"/>
      <w:lvlText w:val="•"/>
      <w:lvlJc w:val="left"/>
      <w:pPr>
        <w:ind w:left="1622" w:hanging="684"/>
      </w:pPr>
    </w:lvl>
    <w:lvl w:ilvl="5">
      <w:numFmt w:val="bullet"/>
      <w:lvlText w:val="•"/>
      <w:lvlJc w:val="left"/>
      <w:pPr>
        <w:ind w:left="1918" w:hanging="684"/>
      </w:pPr>
    </w:lvl>
    <w:lvl w:ilvl="6">
      <w:numFmt w:val="bullet"/>
      <w:lvlText w:val="•"/>
      <w:lvlJc w:val="left"/>
      <w:pPr>
        <w:ind w:left="2213" w:hanging="684"/>
      </w:pPr>
    </w:lvl>
    <w:lvl w:ilvl="7">
      <w:numFmt w:val="bullet"/>
      <w:lvlText w:val="•"/>
      <w:lvlJc w:val="left"/>
      <w:pPr>
        <w:ind w:left="2509" w:hanging="684"/>
      </w:pPr>
    </w:lvl>
    <w:lvl w:ilvl="8">
      <w:numFmt w:val="bullet"/>
      <w:lvlText w:val="•"/>
      <w:lvlJc w:val="left"/>
      <w:pPr>
        <w:ind w:left="2804" w:hanging="684"/>
      </w:pPr>
    </w:lvl>
  </w:abstractNum>
  <w:num w:numId="1" w16cid:durableId="1145009464">
    <w:abstractNumId w:val="0"/>
  </w:num>
  <w:num w:numId="2" w16cid:durableId="820929693">
    <w:abstractNumId w:val="2"/>
  </w:num>
  <w:num w:numId="3" w16cid:durableId="800345244">
    <w:abstractNumId w:val="1"/>
  </w:num>
  <w:num w:numId="4" w16cid:durableId="1128233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56"/>
    <w:rsid w:val="0058443E"/>
    <w:rsid w:val="00A72D53"/>
    <w:rsid w:val="00C64277"/>
    <w:rsid w:val="00DA7B56"/>
    <w:rsid w:val="00E72A2B"/>
    <w:rsid w:val="0AA923BF"/>
    <w:rsid w:val="586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EC3FF"/>
  <w15:chartTrackingRefBased/>
  <w15:docId w15:val="{B5A76CD6-D12A-4C41-A9C9-B6CDB7CC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56"/>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Brownell,Mary T</dc:creator>
  <cp:keywords/>
  <dc:description/>
  <cp:lastModifiedBy>Brownell,Mary T</cp:lastModifiedBy>
  <cp:revision>4</cp:revision>
  <dcterms:created xsi:type="dcterms:W3CDTF">2023-05-04T03:27:00Z</dcterms:created>
  <dcterms:modified xsi:type="dcterms:W3CDTF">2023-08-14T02:53:00Z</dcterms:modified>
</cp:coreProperties>
</file>