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5CA1" w:rsidR="00503AB2" w:rsidP="1E7F64A1" w:rsidRDefault="00503AB2" w14:paraId="2F5BFAD1" w14:textId="00B1FC7B">
      <w:pPr>
        <w:jc w:val="center"/>
        <w:rPr>
          <w:rFonts w:ascii="Calibri" w:hAnsi="Calibri" w:eastAsia="Calibri" w:cs="Calibri" w:asciiTheme="minorAscii" w:hAnsiTheme="minorAscii" w:eastAsiaTheme="minorAscii" w:cstheme="minorAscii"/>
          <w:sz w:val="28"/>
          <w:szCs w:val="28"/>
          <w:lang w:eastAsia="en-US"/>
        </w:rPr>
      </w:pPr>
      <w:r w:rsidRPr="1E7F64A1" w:rsidR="1E7F64A1">
        <w:rPr>
          <w:rFonts w:ascii="Calibri" w:hAnsi="Calibri" w:eastAsia="Calibri" w:cs="Calibri" w:asciiTheme="minorAscii" w:hAnsiTheme="minorAscii" w:eastAsiaTheme="minorAscii" w:cstheme="minorAscii"/>
          <w:b w:val="1"/>
          <w:bCs w:val="1"/>
          <w:sz w:val="28"/>
          <w:szCs w:val="28"/>
        </w:rPr>
        <w:t>Resource C: Strategies to Promote Active Student Engagement (HLP #18)</w:t>
      </w:r>
    </w:p>
    <w:p w:rsidRPr="009B5CA1" w:rsidR="00503AB2" w:rsidP="568C3FC7" w:rsidRDefault="00503AB2" w14:paraId="76B1E470" w14:textId="3B666430">
      <w:pPr>
        <w:spacing w:after="0" w:line="240" w:lineRule="auto"/>
        <w:rPr>
          <w:rFonts w:ascii="Calibri" w:hAnsi="Calibri" w:eastAsia="Calibri" w:cs="Calibri" w:asciiTheme="minorAscii" w:hAnsiTheme="minorAscii" w:eastAsiaTheme="minorAscii" w:cstheme="minorAscii"/>
          <w:lang w:eastAsia="en-US"/>
        </w:rPr>
      </w:pPr>
      <w:r w:rsidRPr="1E7F64A1" w:rsidR="1E7F64A1">
        <w:rPr>
          <w:rFonts w:ascii="Calibri" w:hAnsi="Calibri" w:eastAsia="Calibri" w:cs="Calibri" w:asciiTheme="minorAscii" w:hAnsiTheme="minorAscii" w:eastAsiaTheme="minorAscii" w:cstheme="minorAscii"/>
          <w:lang w:eastAsia="en-US"/>
        </w:rPr>
        <w:t xml:space="preserve">Mentors/instructors of pre-service and/or novice teachers consistently identify ways in which mentees can engage in professional learning opportunities (PLOs) with the goal of strengthening their practices to positively affect student outcomes. To that end, the CEEDAR Center developed videos that portray teachers demonstrating high-leverage practices (HLPs) in authentic settings that can be used as PLOs. One way to use the videos is to ask pre-service and/or novice teachers to examine the HLP being demonstrated and respond to probing questions throughout their examination. The probing questions listed below can be used as a coaching tool with your mentees as they enrich their teaching. </w:t>
      </w:r>
    </w:p>
    <w:p w:rsidRPr="009B5CA1" w:rsidR="00503AB2" w:rsidP="568C3FC7" w:rsidRDefault="00503AB2" w14:paraId="21958597" w14:textId="77777777" w14:noSpellErr="1">
      <w:pPr>
        <w:spacing w:after="0" w:line="240" w:lineRule="auto"/>
        <w:rPr>
          <w:rFonts w:ascii="Calibri" w:hAnsi="Calibri" w:eastAsia="Calibri" w:cs="Calibri" w:asciiTheme="minorAscii" w:hAnsiTheme="minorAscii" w:eastAsiaTheme="minorAscii" w:cstheme="minorAscii"/>
          <w:lang w:eastAsia="en-US"/>
        </w:rPr>
      </w:pPr>
    </w:p>
    <w:p w:rsidRPr="009B5CA1" w:rsidR="00503AB2" w:rsidP="568C3FC7" w:rsidRDefault="00503AB2" w14:paraId="0032B0B9" w14:textId="06700DDD">
      <w:pPr>
        <w:spacing w:after="0" w:line="240" w:lineRule="auto"/>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 xml:space="preserve">Video for HLP #18, Use Strategies to Promote Active Student Engagement, can be found at </w:t>
      </w:r>
      <w:hyperlink r:id="Re4684c2c028347bd">
        <w:r w:rsidRPr="568C3FC7" w:rsidR="568C3FC7">
          <w:rPr>
            <w:rStyle w:val="Hyperlink"/>
            <w:rFonts w:ascii="Calibri" w:hAnsi="Calibri" w:eastAsia="Calibri" w:cs="Calibri" w:asciiTheme="minorAscii" w:hAnsiTheme="minorAscii" w:eastAsiaTheme="minorAscii" w:cstheme="minorAscii"/>
            <w:lang w:eastAsia="en-US"/>
          </w:rPr>
          <w:t>https://highleveragepractices.org/701-2-5/</w:t>
        </w:r>
      </w:hyperlink>
      <w:r w:rsidRPr="568C3FC7" w:rsidR="568C3FC7">
        <w:rPr>
          <w:rFonts w:ascii="Calibri" w:hAnsi="Calibri" w:eastAsia="Calibri" w:cs="Calibri" w:asciiTheme="minorAscii" w:hAnsiTheme="minorAscii" w:eastAsiaTheme="minorAscii" w:cstheme="minorAscii"/>
          <w:lang w:eastAsia="en-US"/>
        </w:rPr>
        <w:t xml:space="preserve">. </w:t>
      </w:r>
    </w:p>
    <w:p w:rsidRPr="009B5CA1" w:rsidR="00503AB2" w:rsidP="568C3FC7" w:rsidRDefault="00503AB2" w14:paraId="33B26BE5" w14:textId="77777777" w14:noSpellErr="1">
      <w:pPr>
        <w:spacing w:after="0" w:line="240" w:lineRule="auto"/>
        <w:rPr>
          <w:rFonts w:ascii="Calibri" w:hAnsi="Calibri" w:eastAsia="Calibri" w:cs="Calibri" w:asciiTheme="minorAscii" w:hAnsiTheme="minorAscii" w:eastAsiaTheme="minorAscii" w:cstheme="minorAscii"/>
          <w:lang w:eastAsia="en-US"/>
        </w:rPr>
      </w:pPr>
    </w:p>
    <w:p w:rsidR="568C3FC7" w:rsidP="568C3FC7" w:rsidRDefault="568C3FC7" w14:paraId="4AD830A7" w14:textId="0ED44CAB">
      <w:pPr>
        <w:spacing w:after="0" w:line="240" w:lineRule="auto"/>
        <w:jc w:val="center"/>
        <w:rPr>
          <w:rFonts w:ascii="Calibri" w:hAnsi="Calibri" w:eastAsia="Calibri" w:cs="Calibri" w:asciiTheme="minorAscii" w:hAnsiTheme="minorAscii" w:eastAsiaTheme="minorAscii" w:cstheme="minorAscii"/>
          <w:u w:val="single"/>
          <w:lang w:eastAsia="en-US"/>
        </w:rPr>
      </w:pPr>
      <w:r w:rsidRPr="568C3FC7" w:rsidR="568C3FC7">
        <w:rPr>
          <w:rFonts w:ascii="Calibri" w:hAnsi="Calibri" w:eastAsia="Calibri" w:cs="Calibri" w:asciiTheme="minorAscii" w:hAnsiTheme="minorAscii" w:eastAsiaTheme="minorAscii" w:cstheme="minorAscii"/>
          <w:u w:val="single"/>
          <w:lang w:eastAsia="en-US"/>
        </w:rPr>
        <w:t>Pre-Video Probing Questions</w:t>
      </w:r>
    </w:p>
    <w:p w:rsidR="568C3FC7" w:rsidP="568C3FC7" w:rsidRDefault="568C3FC7" w14:paraId="4F209FB1" w14:textId="4E9834D5">
      <w:pPr>
        <w:pStyle w:val="Normal"/>
        <w:spacing w:after="0" w:line="240" w:lineRule="auto"/>
        <w:jc w:val="center"/>
        <w:rPr>
          <w:rFonts w:ascii="Calibri" w:hAnsi="Calibri" w:eastAsia="Calibri" w:cs="Calibri" w:asciiTheme="minorAscii" w:hAnsiTheme="minorAscii" w:eastAsiaTheme="minorAscii" w:cstheme="minorAscii"/>
          <w:u w:val="single"/>
          <w:lang w:eastAsia="en-US"/>
        </w:rPr>
      </w:pPr>
    </w:p>
    <w:p w:rsidRPr="009B5CA1" w:rsidR="00503AB2" w:rsidP="568C3FC7" w:rsidRDefault="00503AB2" w14:paraId="1EB38B78" w14:textId="40CB7814">
      <w:pPr>
        <w:spacing w:after="0" w:line="240" w:lineRule="auto"/>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 xml:space="preserve">1. Before you begin viewing the video for HLP #18: </w:t>
      </w:r>
    </w:p>
    <w:p w:rsidRPr="009B5CA1" w:rsidR="00503AB2" w:rsidP="568C3FC7" w:rsidRDefault="00503AB2" w14:paraId="0CC3EC7F" w14:textId="30433D61">
      <w:pPr>
        <w:pStyle w:val="ListParagraph"/>
        <w:numPr>
          <w:ilvl w:val="0"/>
          <w:numId w:val="1"/>
        </w:numPr>
        <w:spacing w:after="0" w:line="240" w:lineRule="auto"/>
        <w:ind/>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 xml:space="preserve">Discuss what the phrase </w:t>
      </w:r>
      <w:r w:rsidRPr="568C3FC7" w:rsidR="568C3FC7">
        <w:rPr>
          <w:rFonts w:ascii="Calibri" w:hAnsi="Calibri" w:eastAsia="Calibri" w:cs="Calibri" w:asciiTheme="minorAscii" w:hAnsiTheme="minorAscii" w:eastAsiaTheme="minorAscii" w:cstheme="minorAscii"/>
          <w:i w:val="1"/>
          <w:iCs w:val="1"/>
          <w:lang w:eastAsia="en-US"/>
        </w:rPr>
        <w:t>actively engaged students</w:t>
      </w:r>
      <w:r w:rsidRPr="568C3FC7" w:rsidR="568C3FC7">
        <w:rPr>
          <w:rFonts w:ascii="Calibri" w:hAnsi="Calibri" w:eastAsia="Calibri" w:cs="Calibri" w:asciiTheme="minorAscii" w:hAnsiTheme="minorAscii" w:eastAsiaTheme="minorAscii" w:cstheme="minorAscii"/>
          <w:lang w:eastAsia="en-US"/>
        </w:rPr>
        <w:t xml:space="preserve"> means to you. What do you envision when you hear this phrase? </w:t>
      </w:r>
    </w:p>
    <w:p w:rsidRPr="009B5CA1" w:rsidR="00503AB2" w:rsidP="568C3FC7" w:rsidRDefault="00503AB2" w14:paraId="264F3126" w14:textId="6BC2CA23">
      <w:pPr>
        <w:pStyle w:val="ListParagraph"/>
        <w:numPr>
          <w:ilvl w:val="0"/>
          <w:numId w:val="1"/>
        </w:numPr>
        <w:spacing w:after="0" w:line="240" w:lineRule="auto"/>
        <w:ind/>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 xml:space="preserve">Provide examples for how you actively engage students. </w:t>
      </w:r>
    </w:p>
    <w:p w:rsidRPr="009B5CA1" w:rsidR="00503AB2" w:rsidP="568C3FC7" w:rsidRDefault="00503AB2" w14:paraId="05D17BF5" w14:textId="731EEB95">
      <w:pPr>
        <w:pStyle w:val="ListParagraph"/>
        <w:numPr>
          <w:ilvl w:val="0"/>
          <w:numId w:val="1"/>
        </w:numPr>
        <w:spacing w:after="0" w:line="240" w:lineRule="auto"/>
        <w:ind/>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What were the results of students being actively engaged?</w:t>
      </w:r>
    </w:p>
    <w:p w:rsidR="568C3FC7" w:rsidP="568C3FC7" w:rsidRDefault="568C3FC7" w14:paraId="79339341" w14:textId="7B334F9E">
      <w:pPr>
        <w:spacing w:after="0" w:line="240" w:lineRule="auto"/>
        <w:jc w:val="center"/>
        <w:rPr>
          <w:rFonts w:ascii="Calibri" w:hAnsi="Calibri" w:eastAsia="Calibri" w:cs="Calibri" w:asciiTheme="minorAscii" w:hAnsiTheme="minorAscii" w:eastAsiaTheme="minorAscii" w:cstheme="minorAscii"/>
          <w:u w:val="single"/>
          <w:lang w:eastAsia="en-US"/>
        </w:rPr>
      </w:pPr>
    </w:p>
    <w:p w:rsidRPr="009B5CA1" w:rsidR="00503AB2" w:rsidP="568C3FC7" w:rsidRDefault="00503AB2" w14:paraId="508D2B89" w14:textId="3EBE73B1">
      <w:pPr>
        <w:spacing w:after="0" w:line="240" w:lineRule="auto"/>
        <w:jc w:val="center"/>
        <w:rPr>
          <w:rFonts w:ascii="Calibri" w:hAnsi="Calibri" w:eastAsia="Calibri" w:cs="Calibri" w:asciiTheme="minorAscii" w:hAnsiTheme="minorAscii" w:eastAsiaTheme="minorAscii" w:cstheme="minorAscii"/>
          <w:u w:val="single"/>
          <w:lang w:eastAsia="en-US"/>
        </w:rPr>
      </w:pPr>
      <w:r w:rsidRPr="568C3FC7" w:rsidR="568C3FC7">
        <w:rPr>
          <w:rFonts w:ascii="Calibri" w:hAnsi="Calibri" w:eastAsia="Calibri" w:cs="Calibri" w:asciiTheme="minorAscii" w:hAnsiTheme="minorAscii" w:eastAsiaTheme="minorAscii" w:cstheme="minorAscii"/>
          <w:u w:val="single"/>
          <w:lang w:eastAsia="en-US"/>
        </w:rPr>
        <w:t>During the Video Probing Questions</w:t>
      </w:r>
    </w:p>
    <w:p w:rsidR="568C3FC7" w:rsidP="568C3FC7" w:rsidRDefault="568C3FC7" w14:paraId="72008C23" w14:textId="770C25E2">
      <w:pPr>
        <w:pStyle w:val="Normal"/>
        <w:spacing w:after="0" w:line="240" w:lineRule="auto"/>
        <w:jc w:val="center"/>
        <w:rPr>
          <w:rFonts w:ascii="Calibri" w:hAnsi="Calibri" w:eastAsia="Calibri" w:cs="Calibri" w:asciiTheme="minorAscii" w:hAnsiTheme="minorAscii" w:eastAsiaTheme="minorAscii" w:cstheme="minorAscii"/>
          <w:u w:val="single"/>
          <w:lang w:eastAsia="en-US"/>
        </w:rPr>
      </w:pPr>
    </w:p>
    <w:p w:rsidRPr="009B5CA1" w:rsidR="00503AB2" w:rsidP="568C3FC7" w:rsidRDefault="00503AB2" w14:paraId="7A7C0D18" w14:textId="58A9A2A0">
      <w:pPr>
        <w:spacing w:after="0" w:line="240" w:lineRule="auto"/>
        <w:ind/>
        <w:rPr>
          <w:rFonts w:ascii="Calibri" w:hAnsi="Calibri" w:eastAsia="Calibri" w:cs="Calibri" w:asciiTheme="minorAscii" w:hAnsiTheme="minorAscii" w:eastAsiaTheme="minorAscii" w:cstheme="minorAscii"/>
          <w:lang w:eastAsia="en-US"/>
        </w:rPr>
      </w:pPr>
      <w:r w:rsidRPr="1E7F64A1" w:rsidR="1E7F64A1">
        <w:rPr>
          <w:rFonts w:ascii="Calibri" w:hAnsi="Calibri" w:eastAsia="Calibri" w:cs="Calibri" w:asciiTheme="minorAscii" w:hAnsiTheme="minorAscii" w:eastAsiaTheme="minorAscii" w:cstheme="minorAscii"/>
          <w:lang w:eastAsia="en-US"/>
        </w:rPr>
        <w:t xml:space="preserve">2. Pause the video at minute 3:00. Take a moment to discuss your thoughts for what behavioral and affective engagement could look like in a classroom. </w:t>
      </w:r>
    </w:p>
    <w:p w:rsidR="568C3FC7" w:rsidP="568C3FC7" w:rsidRDefault="568C3FC7" w14:paraId="21E8AE58" w14:textId="37F9CEB0">
      <w:pPr>
        <w:spacing w:after="0" w:line="240" w:lineRule="auto"/>
        <w:rPr>
          <w:rFonts w:ascii="Calibri" w:hAnsi="Calibri" w:eastAsia="Calibri" w:cs="Calibri" w:asciiTheme="minorAscii" w:hAnsiTheme="minorAscii" w:eastAsiaTheme="minorAscii" w:cstheme="minorAscii"/>
          <w:lang w:eastAsia="en-US"/>
        </w:rPr>
      </w:pPr>
    </w:p>
    <w:p w:rsidRPr="009B5CA1" w:rsidR="00503AB2" w:rsidP="568C3FC7" w:rsidRDefault="00503AB2" w14:paraId="040F53E0" w14:textId="77777777" w14:noSpellErr="1">
      <w:pPr>
        <w:spacing w:after="0" w:line="240" w:lineRule="auto"/>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 xml:space="preserve">3. Pause the video at minute 4:24. </w:t>
      </w:r>
    </w:p>
    <w:p w:rsidRPr="009B5CA1" w:rsidR="00503AB2" w:rsidP="568C3FC7" w:rsidRDefault="00503AB2" w14:paraId="18106EF8" w14:textId="3ABCA7B3">
      <w:pPr>
        <w:pStyle w:val="ListParagraph"/>
        <w:numPr>
          <w:ilvl w:val="0"/>
          <w:numId w:val="2"/>
        </w:numPr>
        <w:spacing w:after="0" w:line="240" w:lineRule="auto"/>
        <w:ind/>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Discuss how teachers can (1) build and maintain positive relationships with students and (2) provide multiple opportunities to respond and receive meaningful feedback.</w:t>
      </w:r>
    </w:p>
    <w:p w:rsidRPr="009B5CA1" w:rsidR="00503AB2" w:rsidP="568C3FC7" w:rsidRDefault="00503AB2" w14:paraId="36A51684" w14:textId="63D82D32">
      <w:pPr>
        <w:pStyle w:val="ListParagraph"/>
        <w:numPr>
          <w:ilvl w:val="0"/>
          <w:numId w:val="2"/>
        </w:numPr>
        <w:spacing w:after="0" w:line="240" w:lineRule="auto"/>
        <w:ind/>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What benefits do you anticipate occurring?</w:t>
      </w:r>
    </w:p>
    <w:p w:rsidRPr="009B5CA1" w:rsidR="00503AB2" w:rsidP="568C3FC7" w:rsidRDefault="00503AB2" w14:paraId="3C04C45F" w14:textId="3DBBC6CF">
      <w:pPr>
        <w:pStyle w:val="ListParagraph"/>
        <w:numPr>
          <w:ilvl w:val="0"/>
          <w:numId w:val="2"/>
        </w:numPr>
        <w:spacing w:after="0" w:line="240" w:lineRule="auto"/>
        <w:ind/>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 xml:space="preserve">What challenges do you anticipate occurring? </w:t>
      </w:r>
    </w:p>
    <w:p w:rsidR="568C3FC7" w:rsidP="568C3FC7" w:rsidRDefault="568C3FC7" w14:paraId="637445A8" w14:textId="533A8908">
      <w:pPr>
        <w:pStyle w:val="Normal"/>
        <w:spacing w:after="0" w:line="240" w:lineRule="auto"/>
        <w:ind w:left="0"/>
        <w:rPr>
          <w:rFonts w:ascii="Calibri" w:hAnsi="Calibri" w:eastAsia="Calibri" w:cs="Calibri" w:asciiTheme="minorAscii" w:hAnsiTheme="minorAscii" w:eastAsiaTheme="minorAscii" w:cstheme="minorAscii"/>
          <w:lang w:eastAsia="en-US"/>
        </w:rPr>
      </w:pPr>
    </w:p>
    <w:p w:rsidRPr="009B5CA1" w:rsidR="00503AB2" w:rsidP="568C3FC7" w:rsidRDefault="00503AB2" w14:paraId="1DEE542B" w14:textId="77777777" w14:noSpellErr="1">
      <w:pPr>
        <w:spacing w:after="0" w:line="240" w:lineRule="auto"/>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 xml:space="preserve">4. Pause the video at minute 8:57. </w:t>
      </w:r>
    </w:p>
    <w:p w:rsidRPr="009B5CA1" w:rsidR="00503AB2" w:rsidP="568C3FC7" w:rsidRDefault="00503AB2" w14:paraId="7CEEACE8" w14:textId="4C222DA1">
      <w:pPr>
        <w:pStyle w:val="ListParagraph"/>
        <w:numPr>
          <w:ilvl w:val="0"/>
          <w:numId w:val="3"/>
        </w:numPr>
        <w:spacing w:after="0" w:line="240" w:lineRule="auto"/>
        <w:ind/>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 xml:space="preserve">Various examples for how to build positive teacher-student relationships were provided. Which of the examples have you previously demonstrated? What were the effects? </w:t>
      </w:r>
    </w:p>
    <w:p w:rsidRPr="009B5CA1" w:rsidR="00503AB2" w:rsidP="568C3FC7" w:rsidRDefault="00503AB2" w14:paraId="6BFF8F36" w14:textId="67C94595">
      <w:pPr>
        <w:pStyle w:val="ListParagraph"/>
        <w:numPr>
          <w:ilvl w:val="0"/>
          <w:numId w:val="3"/>
        </w:numPr>
        <w:spacing w:after="0" w:line="240" w:lineRule="auto"/>
        <w:ind/>
        <w:rPr>
          <w:rFonts w:ascii="Calibri" w:hAnsi="Calibri" w:eastAsia="Calibri" w:cs="Calibri" w:asciiTheme="minorAscii" w:hAnsiTheme="minorAscii" w:eastAsiaTheme="minorAscii" w:cstheme="minorAscii"/>
          <w:lang w:eastAsia="en-US"/>
        </w:rPr>
      </w:pPr>
      <w:r w:rsidRPr="1E7F64A1" w:rsidR="1E7F64A1">
        <w:rPr>
          <w:rFonts w:ascii="Calibri" w:hAnsi="Calibri" w:eastAsia="Calibri" w:cs="Calibri" w:asciiTheme="minorAscii" w:hAnsiTheme="minorAscii" w:eastAsiaTheme="minorAscii" w:cstheme="minorAscii"/>
          <w:lang w:eastAsia="en-US"/>
        </w:rPr>
        <w:t xml:space="preserve">Which of the examples for building positive teacher-student relationships will you consider adopting this school year? Why? </w:t>
      </w:r>
    </w:p>
    <w:p w:rsidR="568C3FC7" w:rsidP="568C3FC7" w:rsidRDefault="568C3FC7" w14:paraId="16DE55B0" w14:textId="0E45789B">
      <w:pPr>
        <w:pStyle w:val="Normal"/>
        <w:spacing w:after="0" w:line="240" w:lineRule="auto"/>
        <w:ind w:left="0"/>
        <w:rPr>
          <w:rFonts w:ascii="Calibri" w:hAnsi="Calibri" w:eastAsia="" w:cs=""/>
          <w:lang w:eastAsia="en-US"/>
        </w:rPr>
      </w:pPr>
    </w:p>
    <w:p w:rsidRPr="009B5CA1" w:rsidR="00503AB2" w:rsidP="568C3FC7" w:rsidRDefault="00503AB2" w14:paraId="19F4BDFC" w14:textId="7794B9C3">
      <w:pPr>
        <w:spacing w:after="0" w:line="240" w:lineRule="auto"/>
        <w:ind/>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 xml:space="preserve">5. Pause the video at minute 12:53. </w:t>
      </w:r>
      <w:proofErr w:type="spellStart"/>
      <w:proofErr w:type="spellEnd"/>
    </w:p>
    <w:p w:rsidRPr="009B5CA1" w:rsidR="00503AB2" w:rsidP="568C3FC7" w:rsidRDefault="00503AB2" w14:paraId="5DB9B8AD" w14:textId="5A385298">
      <w:pPr>
        <w:pStyle w:val="ListParagraph"/>
        <w:numPr>
          <w:ilvl w:val="0"/>
          <w:numId w:val="4"/>
        </w:numPr>
        <w:spacing w:after="0" w:line="240" w:lineRule="auto"/>
        <w:ind/>
        <w:rPr>
          <w:rFonts w:ascii="Calibri" w:hAnsi="Calibri" w:eastAsia="Calibri" w:cs="Calibri" w:asciiTheme="minorAscii" w:hAnsiTheme="minorAscii" w:eastAsiaTheme="minorAscii" w:cstheme="minorAscii"/>
          <w:lang w:eastAsia="en-US"/>
        </w:rPr>
      </w:pPr>
      <w:r w:rsidRPr="1E7F64A1" w:rsidR="1E7F64A1">
        <w:rPr>
          <w:rFonts w:ascii="Calibri" w:hAnsi="Calibri" w:eastAsia="Calibri" w:cs="Calibri" w:asciiTheme="minorAscii" w:hAnsiTheme="minorAscii" w:eastAsiaTheme="minorAscii" w:cstheme="minorAscii"/>
          <w:lang w:eastAsia="en-US"/>
        </w:rPr>
        <w:t>Examples of active engagement strategies were provided. Which examples have you found to ensure student engagement? Describe these experiences and their effects.</w:t>
      </w:r>
      <w:proofErr w:type="spellStart"/>
      <w:proofErr w:type="spellEnd"/>
    </w:p>
    <w:p w:rsidRPr="009B5CA1" w:rsidR="00503AB2" w:rsidP="568C3FC7" w:rsidRDefault="00503AB2" w14:paraId="0113FEF2" w14:textId="59DBCF63">
      <w:pPr>
        <w:pStyle w:val="ListParagraph"/>
        <w:numPr>
          <w:ilvl w:val="0"/>
          <w:numId w:val="4"/>
        </w:numPr>
        <w:spacing w:after="0" w:line="240" w:lineRule="auto"/>
        <w:ind/>
        <w:rPr>
          <w:rFonts w:ascii="Calibri" w:hAnsi="Calibri" w:eastAsia="Calibri" w:cs="Calibri" w:asciiTheme="minorAscii" w:hAnsiTheme="minorAscii" w:eastAsiaTheme="minorAscii" w:cstheme="minorAscii"/>
          <w:lang w:eastAsia="en-US"/>
        </w:rPr>
      </w:pPr>
      <w:r w:rsidRPr="1E7F64A1" w:rsidR="1E7F64A1">
        <w:rPr>
          <w:rFonts w:ascii="Calibri" w:hAnsi="Calibri" w:eastAsia="Calibri" w:cs="Calibri" w:asciiTheme="minorAscii" w:hAnsiTheme="minorAscii" w:eastAsiaTheme="minorAscii" w:cstheme="minorAscii"/>
          <w:lang w:eastAsia="en-US"/>
        </w:rPr>
        <w:t xml:space="preserve">What strategies will you consider adopting this school year? Why? </w:t>
      </w:r>
    </w:p>
    <w:p w:rsidR="568C3FC7" w:rsidP="568C3FC7" w:rsidRDefault="568C3FC7" w14:paraId="0408E0CF" w14:textId="39AED3DF">
      <w:pPr>
        <w:pStyle w:val="Normal"/>
        <w:spacing w:after="0" w:line="240" w:lineRule="auto"/>
        <w:ind w:left="0"/>
        <w:rPr>
          <w:rFonts w:ascii="Calibri" w:hAnsi="Calibri" w:eastAsia="" w:cs=""/>
          <w:lang w:eastAsia="en-US"/>
        </w:rPr>
      </w:pPr>
    </w:p>
    <w:p w:rsidRPr="009B5CA1" w:rsidR="00503AB2" w:rsidP="568C3FC7" w:rsidRDefault="00503AB2" w14:paraId="77282928" w14:textId="77777777" w14:noSpellErr="1">
      <w:pPr>
        <w:spacing w:after="0" w:line="240" w:lineRule="auto"/>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 xml:space="preserve">6. Pause the video at minute 15:58. </w:t>
      </w:r>
    </w:p>
    <w:p w:rsidRPr="009B5CA1" w:rsidR="00503AB2" w:rsidP="568C3FC7" w:rsidRDefault="00503AB2" w14:paraId="5ABFD9EB" w14:textId="610BE31D">
      <w:pPr>
        <w:pStyle w:val="ListParagraph"/>
        <w:numPr>
          <w:ilvl w:val="0"/>
          <w:numId w:val="5"/>
        </w:numPr>
        <w:spacing w:after="0" w:line="240" w:lineRule="auto"/>
        <w:ind/>
        <w:rPr>
          <w:rFonts w:ascii="Calibri" w:hAnsi="Calibri" w:eastAsia="" w:cs=""/>
          <w:lang w:eastAsia="en-US"/>
        </w:rPr>
      </w:pPr>
      <w:r w:rsidRPr="568C3FC7" w:rsidR="568C3FC7">
        <w:rPr>
          <w:rFonts w:ascii="Calibri" w:hAnsi="Calibri" w:eastAsia="Calibri" w:cs="Calibri" w:asciiTheme="minorAscii" w:hAnsiTheme="minorAscii" w:eastAsiaTheme="minorAscii" w:cstheme="minorAscii"/>
          <w:lang w:eastAsia="en-US"/>
        </w:rPr>
        <w:t xml:space="preserve">Students who are actively engaged in their classrooms have teachers that consistently monitor their learning and provide ongoing, individualized feedback. Describe a time that you actively monitored students’ learning and provided specific feedback to support a student and/or a group of students. </w:t>
      </w:r>
      <w:r>
        <w:br/>
      </w:r>
    </w:p>
    <w:p w:rsidRPr="009B5CA1" w:rsidR="00503AB2" w:rsidP="568C3FC7" w:rsidRDefault="00503AB2" w14:paraId="0D17F174" w14:textId="77777777" w14:noSpellErr="1">
      <w:pPr>
        <w:spacing w:after="0" w:line="240" w:lineRule="auto"/>
        <w:jc w:val="center"/>
        <w:rPr>
          <w:rFonts w:ascii="Calibri" w:hAnsi="Calibri" w:eastAsia="Calibri" w:cs="Calibri" w:asciiTheme="minorAscii" w:hAnsiTheme="minorAscii" w:eastAsiaTheme="minorAscii" w:cstheme="minorAscii"/>
          <w:u w:val="single"/>
          <w:lang w:eastAsia="en-US"/>
        </w:rPr>
      </w:pPr>
      <w:r w:rsidRPr="568C3FC7" w:rsidR="568C3FC7">
        <w:rPr>
          <w:rFonts w:ascii="Calibri" w:hAnsi="Calibri" w:eastAsia="Calibri" w:cs="Calibri" w:asciiTheme="minorAscii" w:hAnsiTheme="minorAscii" w:eastAsiaTheme="minorAscii" w:cstheme="minorAscii"/>
          <w:u w:val="single"/>
          <w:lang w:eastAsia="en-US"/>
        </w:rPr>
        <w:t>Post-Video Probing Questions</w:t>
      </w:r>
    </w:p>
    <w:p w:rsidR="568C3FC7" w:rsidP="568C3FC7" w:rsidRDefault="568C3FC7" w14:paraId="21DF12A5" w14:textId="2CA0372E">
      <w:pPr>
        <w:spacing w:after="0" w:line="240" w:lineRule="auto"/>
        <w:rPr>
          <w:rFonts w:ascii="Calibri" w:hAnsi="Calibri" w:eastAsia="Calibri" w:cs="Calibri" w:asciiTheme="minorAscii" w:hAnsiTheme="minorAscii" w:eastAsiaTheme="minorAscii" w:cstheme="minorAscii"/>
          <w:lang w:eastAsia="en-US"/>
        </w:rPr>
      </w:pPr>
    </w:p>
    <w:p w:rsidRPr="009B5CA1" w:rsidR="00503AB2" w:rsidP="568C3FC7" w:rsidRDefault="00503AB2" w14:paraId="6A96A3E3" w14:textId="7EEC887D">
      <w:pPr>
        <w:spacing w:after="0" w:line="240" w:lineRule="auto"/>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 xml:space="preserve">7. After watching the video for HLP #18: </w:t>
      </w:r>
    </w:p>
    <w:p w:rsidRPr="009B5CA1" w:rsidR="00503AB2" w:rsidP="568C3FC7" w:rsidRDefault="00503AB2" w14:paraId="499C96DA" w14:textId="04A00C54">
      <w:pPr>
        <w:pStyle w:val="ListParagraph"/>
        <w:numPr>
          <w:ilvl w:val="0"/>
          <w:numId w:val="6"/>
        </w:numPr>
        <w:spacing w:after="0" w:line="240" w:lineRule="auto"/>
        <w:ind/>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Describe if you refined your definition for what it means for students to be actively engaged. Explain your response.</w:t>
      </w:r>
    </w:p>
    <w:p w:rsidRPr="009B5CA1" w:rsidR="00503AB2" w:rsidP="568C3FC7" w:rsidRDefault="00503AB2" w14:paraId="5B9BE826" w14:textId="6F89DF82">
      <w:pPr>
        <w:pStyle w:val="ListParagraph"/>
        <w:numPr>
          <w:ilvl w:val="0"/>
          <w:numId w:val="6"/>
        </w:numPr>
        <w:spacing w:after="0" w:line="240" w:lineRule="auto"/>
        <w:ind/>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Develop a professional learning goal focused on active engagement strategies that you intend to use in instruction over the next month.</w:t>
      </w:r>
    </w:p>
    <w:p w:rsidRPr="009B5CA1" w:rsidR="00503AB2" w:rsidP="568C3FC7" w:rsidRDefault="00503AB2" w14:paraId="42752C22" w14:textId="3C01719E">
      <w:pPr>
        <w:pStyle w:val="ListParagraph"/>
        <w:numPr>
          <w:ilvl w:val="0"/>
          <w:numId w:val="6"/>
        </w:numPr>
        <w:spacing w:after="0" w:line="240" w:lineRule="auto"/>
        <w:ind/>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 xml:space="preserve">Discuss with your mentor/instructor various ways he/she can support you in achieving your professional learning goal. </w:t>
      </w:r>
    </w:p>
    <w:p w:rsidRPr="009B5CA1" w:rsidR="00503AB2" w:rsidP="568C3FC7" w:rsidRDefault="00503AB2" w14:paraId="242AF10A" w14:textId="77777777" w14:noSpellErr="1">
      <w:pPr>
        <w:spacing w:after="0" w:line="240" w:lineRule="auto"/>
        <w:rPr>
          <w:rFonts w:ascii="Calibri" w:hAnsi="Calibri" w:eastAsia="Calibri" w:cs="Calibri" w:asciiTheme="minorAscii" w:hAnsiTheme="minorAscii" w:eastAsiaTheme="minorAscii" w:cstheme="minorAscii"/>
          <w:lang w:eastAsia="en-US"/>
        </w:rPr>
      </w:pPr>
    </w:p>
    <w:p w:rsidRPr="009B5CA1" w:rsidR="00503AB2" w:rsidP="568C3FC7" w:rsidRDefault="00503AB2" w14:paraId="1E6DDA90" w14:textId="77777777" w14:noSpellErr="1">
      <w:pPr>
        <w:spacing w:after="0" w:line="240" w:lineRule="auto"/>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 xml:space="preserve">This resource is to be used with: </w:t>
      </w:r>
    </w:p>
    <w:p w:rsidRPr="009B5CA1" w:rsidR="00503AB2" w:rsidP="568C3FC7" w:rsidRDefault="00503AB2" w14:paraId="77667630" w14:textId="77777777" w14:noSpellErr="1">
      <w:pPr>
        <w:spacing w:after="0" w:line="240" w:lineRule="auto"/>
        <w:rPr>
          <w:rFonts w:ascii="Calibri" w:hAnsi="Calibri" w:eastAsia="Calibri" w:cs="Calibri" w:asciiTheme="minorAscii" w:hAnsiTheme="minorAscii" w:eastAsiaTheme="minorAscii" w:cstheme="minorAscii"/>
          <w:lang w:eastAsia="en-US"/>
        </w:rPr>
      </w:pPr>
    </w:p>
    <w:p w:rsidRPr="009B5CA1" w:rsidR="00503AB2" w:rsidP="568C3FC7" w:rsidRDefault="00503AB2" w14:paraId="30D11243" w14:textId="3F99B002">
      <w:pPr>
        <w:spacing w:after="0" w:line="240" w:lineRule="auto"/>
        <w:rPr>
          <w:rFonts w:ascii="Calibri" w:hAnsi="Calibri" w:eastAsia="Calibri" w:cs="Calibri" w:asciiTheme="minorAscii" w:hAnsiTheme="minorAscii" w:eastAsiaTheme="minorAscii" w:cstheme="minorAscii"/>
          <w:lang w:eastAsia="en-US"/>
        </w:rPr>
      </w:pPr>
      <w:r w:rsidRPr="568C3FC7" w:rsidR="568C3FC7">
        <w:rPr>
          <w:rFonts w:ascii="Calibri" w:hAnsi="Calibri" w:eastAsia="Calibri" w:cs="Calibri" w:asciiTheme="minorAscii" w:hAnsiTheme="minorAscii" w:eastAsiaTheme="minorAscii" w:cstheme="minorAscii"/>
          <w:lang w:eastAsia="en-US"/>
        </w:rPr>
        <w:t xml:space="preserve">Kennedy, M. J., Peeples, K. N., Romig, J. E., Mathews, H. M., &amp; Rodgers, W. J. (2018). High-leverage practice #18: Use strategies to promote active student engagement. </w:t>
      </w:r>
      <w:hyperlink r:id="R144890da6bf44582">
        <w:r w:rsidRPr="568C3FC7" w:rsidR="568C3FC7">
          <w:rPr>
            <w:rStyle w:val="Hyperlink"/>
            <w:rFonts w:ascii="Calibri" w:hAnsi="Calibri" w:eastAsia="Calibri" w:cs="Calibri" w:asciiTheme="minorAscii" w:hAnsiTheme="minorAscii" w:eastAsiaTheme="minorAscii" w:cstheme="minorAscii"/>
            <w:lang w:eastAsia="en-US"/>
          </w:rPr>
          <w:t>https://highleveragepractices.org/701-2-5/</w:t>
        </w:r>
      </w:hyperlink>
      <w:r w:rsidRPr="568C3FC7" w:rsidR="568C3FC7">
        <w:rPr>
          <w:rFonts w:ascii="Calibri" w:hAnsi="Calibri" w:eastAsia="Calibri" w:cs="Calibri" w:asciiTheme="minorAscii" w:hAnsiTheme="minorAscii" w:eastAsiaTheme="minorAscii" w:cstheme="minorAscii"/>
          <w:lang w:eastAsia="en-US"/>
        </w:rPr>
        <w:t xml:space="preserve">. </w:t>
      </w:r>
    </w:p>
    <w:p w:rsidRPr="009B5CA1" w:rsidR="00503AB2" w:rsidP="568C3FC7" w:rsidRDefault="00503AB2" w14:paraId="5FB673DF" w14:textId="77777777" w14:noSpellErr="1">
      <w:pPr>
        <w:spacing w:after="0" w:line="240" w:lineRule="auto"/>
        <w:rPr>
          <w:rFonts w:ascii="Calibri" w:hAnsi="Calibri" w:eastAsia="Calibri" w:cs="Calibri" w:asciiTheme="minorAscii" w:hAnsiTheme="minorAscii" w:eastAsiaTheme="minorAscii" w:cstheme="minorAscii"/>
          <w:lang w:eastAsia="en-US"/>
        </w:rPr>
      </w:pPr>
    </w:p>
    <w:p w:rsidRPr="009B5CA1" w:rsidR="00EE359A" w:rsidP="568C3FC7" w:rsidRDefault="00EE359A" w14:paraId="5393EA1C" w14:textId="527B3D6A">
      <w:pPr>
        <w:spacing w:after="0" w:line="240" w:lineRule="auto"/>
        <w:rPr>
          <w:rFonts w:ascii="Calibri" w:hAnsi="Calibri" w:eastAsia="Calibri" w:cs="Calibri" w:asciiTheme="minorAscii" w:hAnsiTheme="minorAscii" w:eastAsiaTheme="minorAscii" w:cstheme="minorAscii"/>
          <w:lang w:eastAsia="en-US"/>
        </w:rPr>
      </w:pPr>
      <w:r w:rsidRPr="1E7F64A1" w:rsidR="1E7F64A1">
        <w:rPr>
          <w:rFonts w:ascii="Calibri" w:hAnsi="Calibri" w:eastAsia="Calibri" w:cs="Calibri" w:asciiTheme="minorAscii" w:hAnsiTheme="minorAscii" w:eastAsiaTheme="minorAscii" w:cstheme="minorAscii"/>
        </w:rPr>
        <w:t xml:space="preserve">To reference this resource, please cite Wetherington, P., Zimmer, K., Driver, M. K., &amp; Patterson, D. (2018). A resource guide for the high-leverage practice video series: HLP #18 student engagement. Retrieved at </w:t>
      </w:r>
      <w:hyperlink r:id="R2f07c9a1620a4e3a">
        <w:r w:rsidRPr="1E7F64A1" w:rsidR="1E7F64A1">
          <w:rPr>
            <w:rStyle w:val="Hyperlink"/>
            <w:rFonts w:ascii="Calibri" w:hAnsi="Calibri" w:eastAsia="Calibri" w:cs="Calibri" w:asciiTheme="minorAscii" w:hAnsiTheme="minorAscii" w:eastAsiaTheme="minorAscii" w:cstheme="minorAscii"/>
            <w:lang w:eastAsia="en-US"/>
          </w:rPr>
          <w:t>https://ceedar.education.ufl.edu/wp-content/uploads/2018/09/Professional-Learning-Opportunity-HLP-18.pdf</w:t>
        </w:r>
      </w:hyperlink>
    </w:p>
    <w:p w:rsidRPr="009B5CA1" w:rsidR="0058443E" w:rsidRDefault="0058443E" w14:paraId="7BC3895F" w14:textId="6C890697">
      <w:pPr>
        <w:rPr>
          <w:rFonts w:ascii="Times New Roman" w:hAnsi="Times New Roman" w:cs="Times New Roman"/>
        </w:rPr>
      </w:pPr>
    </w:p>
    <w:sectPr w:rsidRPr="009B5CA1" w:rsidR="0058443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6">
    <w:nsid w:val="10c2de1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308795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8ad0c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853c3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2ceaa0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84e8d4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B2"/>
    <w:rsid w:val="000E6C16"/>
    <w:rsid w:val="003D7C39"/>
    <w:rsid w:val="00503AB2"/>
    <w:rsid w:val="0058443E"/>
    <w:rsid w:val="00847D47"/>
    <w:rsid w:val="009B5CA1"/>
    <w:rsid w:val="009D68F9"/>
    <w:rsid w:val="00C64277"/>
    <w:rsid w:val="00C850E8"/>
    <w:rsid w:val="00EE359A"/>
    <w:rsid w:val="1E7F64A1"/>
    <w:rsid w:val="568C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4F663"/>
  <w15:chartTrackingRefBased/>
  <w15:docId w15:val="{E7534809-63EE-5543-A390-C76235F7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3AB2"/>
    <w:pPr>
      <w:spacing w:after="240" w:line="259" w:lineRule="auto"/>
    </w:pPr>
    <w:rPr>
      <w:rFonts w:eastAsiaTheme="minorEastAsia"/>
      <w:kern w:val="0"/>
      <w:lang w:eastAsia="ja-JP"/>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nhideWhenUsed/>
    <w:rsid w:val="00503AB2"/>
    <w:rPr>
      <w:color w:val="0563C1" w:themeColor="hyperlink"/>
      <w:u w:val="single"/>
    </w:rPr>
  </w:style>
  <w:style w:type="character" w:styleId="UnresolvedMention">
    <w:name w:val="Unresolved Mention"/>
    <w:basedOn w:val="DefaultParagraphFont"/>
    <w:uiPriority w:val="99"/>
    <w:semiHidden/>
    <w:unhideWhenUsed/>
    <w:rsid w:val="00EE359A"/>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highleveragepractices.org/701-2-5/" TargetMode="External" Id="Re4684c2c028347bd" /><Relationship Type="http://schemas.openxmlformats.org/officeDocument/2006/relationships/hyperlink" Target="https://highleveragepractices.org/701-2-5/" TargetMode="External" Id="R144890da6bf44582" /><Relationship Type="http://schemas.openxmlformats.org/officeDocument/2006/relationships/numbering" Target="numbering.xml" Id="R99619797158e4752" /><Relationship Type="http://schemas.openxmlformats.org/officeDocument/2006/relationships/hyperlink" Target="https://ceedar.education.ufl.edu/wp-content/uploads/2018/09/Professional-Learning-Opportunity-HLP-18.pdf" TargetMode="External" Id="R2f07c9a1620a4e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Brownell,Mary T</dc:creator>
  <keywords/>
  <dc:description/>
  <lastModifiedBy>Jacki Donaldson</lastModifiedBy>
  <revision>11</revision>
  <dcterms:created xsi:type="dcterms:W3CDTF">2023-06-02T02:09:00.0000000Z</dcterms:created>
  <dcterms:modified xsi:type="dcterms:W3CDTF">2023-08-06T20:23:56.0703455Z</dcterms:modified>
</coreProperties>
</file>