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7972" w:type="dxa"/>
        <w:tblInd w:w="450" w:type="dxa"/>
        <w:tblLook w:val="04A0" w:firstRow="1" w:lastRow="0" w:firstColumn="1" w:lastColumn="0" w:noHBand="0" w:noVBand="1"/>
      </w:tblPr>
      <w:tblGrid>
        <w:gridCol w:w="1615"/>
        <w:gridCol w:w="5850"/>
        <w:gridCol w:w="1800"/>
        <w:gridCol w:w="8707"/>
      </w:tblGrid>
      <w:tr w:rsidR="002618A9" w:rsidRPr="002618A9" w14:paraId="583DA7D8" w14:textId="77777777" w:rsidTr="002618A9">
        <w:tc>
          <w:tcPr>
            <w:tcW w:w="1615" w:type="dxa"/>
            <w:shd w:val="clear" w:color="auto" w:fill="B4C6E7" w:themeFill="accent1" w:themeFillTint="66"/>
          </w:tcPr>
          <w:p w14:paraId="0A20770E" w14:textId="1021016F" w:rsidR="002618A9" w:rsidRPr="002618A9" w:rsidRDefault="002618A9" w:rsidP="008700BE">
            <w:pPr>
              <w:spacing w:before="40"/>
              <w:rPr>
                <w:rFonts w:ascii="Calibri" w:eastAsia="Arial Unicode MS" w:hAnsi="Calibri"/>
                <w:b/>
                <w:bCs/>
                <w:sz w:val="28"/>
                <w:szCs w:val="28"/>
              </w:rPr>
            </w:pPr>
            <w:r w:rsidRPr="002618A9">
              <w:rPr>
                <w:rFonts w:ascii="Calibri" w:eastAsia="Arial Unicode MS" w:hAnsi="Calibri"/>
                <w:b/>
                <w:bCs/>
                <w:sz w:val="28"/>
                <w:szCs w:val="28"/>
              </w:rPr>
              <w:t>Focus</w:t>
            </w:r>
          </w:p>
        </w:tc>
        <w:tc>
          <w:tcPr>
            <w:tcW w:w="5850" w:type="dxa"/>
            <w:shd w:val="clear" w:color="auto" w:fill="B4C6E7" w:themeFill="accent1" w:themeFillTint="66"/>
          </w:tcPr>
          <w:p w14:paraId="1A83F834" w14:textId="2F5AC224" w:rsidR="002618A9" w:rsidRPr="002618A9" w:rsidRDefault="002618A9" w:rsidP="008700BE">
            <w:pPr>
              <w:spacing w:before="40"/>
              <w:rPr>
                <w:rFonts w:ascii="Calibri" w:eastAsia="Arial Unicode MS" w:hAnsi="Calibri"/>
                <w:b/>
                <w:bCs/>
                <w:sz w:val="28"/>
                <w:szCs w:val="28"/>
              </w:rPr>
            </w:pPr>
            <w:r w:rsidRPr="002618A9">
              <w:rPr>
                <w:rFonts w:ascii="Calibri" w:eastAsia="Arial Unicode MS" w:hAnsi="Calibri"/>
                <w:b/>
                <w:bCs/>
                <w:sz w:val="28"/>
                <w:szCs w:val="28"/>
              </w:rPr>
              <w:t>Reference</w:t>
            </w:r>
          </w:p>
        </w:tc>
        <w:tc>
          <w:tcPr>
            <w:tcW w:w="1800" w:type="dxa"/>
            <w:shd w:val="clear" w:color="auto" w:fill="B4C6E7" w:themeFill="accent1" w:themeFillTint="66"/>
          </w:tcPr>
          <w:p w14:paraId="53D5AB7F" w14:textId="47F7D78B" w:rsidR="002618A9" w:rsidRPr="002618A9" w:rsidRDefault="002618A9" w:rsidP="008700BE">
            <w:pPr>
              <w:spacing w:before="40"/>
              <w:rPr>
                <w:rFonts w:ascii="Calibri" w:eastAsia="Arial Unicode MS" w:hAnsi="Calibri"/>
                <w:b/>
                <w:bCs/>
                <w:sz w:val="28"/>
                <w:szCs w:val="28"/>
              </w:rPr>
            </w:pPr>
            <w:r w:rsidRPr="002618A9">
              <w:rPr>
                <w:rFonts w:ascii="Calibri" w:eastAsia="Arial Unicode MS" w:hAnsi="Calibri"/>
                <w:b/>
                <w:bCs/>
                <w:sz w:val="28"/>
                <w:szCs w:val="28"/>
              </w:rPr>
              <w:t>Level</w:t>
            </w:r>
          </w:p>
        </w:tc>
        <w:tc>
          <w:tcPr>
            <w:tcW w:w="8707" w:type="dxa"/>
            <w:shd w:val="clear" w:color="auto" w:fill="B4C6E7" w:themeFill="accent1" w:themeFillTint="66"/>
          </w:tcPr>
          <w:p w14:paraId="4721015A" w14:textId="13E0319E" w:rsidR="002618A9" w:rsidRPr="002618A9" w:rsidRDefault="002618A9" w:rsidP="008700BE">
            <w:pPr>
              <w:spacing w:before="40"/>
              <w:rPr>
                <w:rFonts w:ascii="Calibri" w:eastAsia="Arial Unicode MS" w:hAnsi="Calibri"/>
                <w:b/>
                <w:bCs/>
                <w:sz w:val="28"/>
                <w:szCs w:val="28"/>
              </w:rPr>
            </w:pPr>
            <w:r w:rsidRPr="002618A9">
              <w:rPr>
                <w:rFonts w:ascii="Calibri" w:eastAsia="Arial Unicode MS" w:hAnsi="Calibri"/>
                <w:b/>
                <w:bCs/>
                <w:sz w:val="28"/>
                <w:szCs w:val="28"/>
              </w:rPr>
              <w:t>Synopsis</w:t>
            </w:r>
          </w:p>
        </w:tc>
      </w:tr>
      <w:tr w:rsidR="008700BE" w:rsidRPr="00506D00" w14:paraId="1DA440C0" w14:textId="6A0D1232" w:rsidTr="0051259C">
        <w:tc>
          <w:tcPr>
            <w:tcW w:w="1615" w:type="dxa"/>
          </w:tcPr>
          <w:p w14:paraId="3B2C37A1" w14:textId="6784A562" w:rsidR="008700BE" w:rsidRPr="00506D00" w:rsidRDefault="008700BE" w:rsidP="008700BE">
            <w:pPr>
              <w:spacing w:before="40"/>
              <w:rPr>
                <w:rFonts w:ascii="Calibri" w:eastAsia="Arial Unicode MS" w:hAnsi="Calibri"/>
              </w:rPr>
            </w:pPr>
            <w:r>
              <w:rPr>
                <w:rFonts w:ascii="Calibri" w:eastAsia="Arial Unicode MS" w:hAnsi="Calibri"/>
              </w:rPr>
              <w:t>Reading overview</w:t>
            </w:r>
            <w:r w:rsidR="000461F9">
              <w:rPr>
                <w:rFonts w:ascii="Calibri" w:eastAsia="Arial Unicode MS" w:hAnsi="Calibri"/>
              </w:rPr>
              <w:t xml:space="preserve"> &amp; methods</w:t>
            </w:r>
          </w:p>
        </w:tc>
        <w:tc>
          <w:tcPr>
            <w:tcW w:w="5850" w:type="dxa"/>
          </w:tcPr>
          <w:p w14:paraId="5C860CC1" w14:textId="35D8045D" w:rsidR="008700BE" w:rsidRPr="00506D00" w:rsidRDefault="008700BE" w:rsidP="008700BE">
            <w:pPr>
              <w:spacing w:before="40"/>
              <w:rPr>
                <w:rFonts w:ascii="Calibri" w:eastAsia="Arial Unicode MS" w:hAnsi="Calibri"/>
              </w:rPr>
            </w:pPr>
            <w:r w:rsidRPr="00506D00">
              <w:rPr>
                <w:rFonts w:ascii="Calibri" w:eastAsia="Arial Unicode MS" w:hAnsi="Calibri"/>
              </w:rPr>
              <w:t xml:space="preserve">Honig, B., Diamond, L. &amp; </w:t>
            </w:r>
            <w:proofErr w:type="spellStart"/>
            <w:r w:rsidRPr="00506D00">
              <w:rPr>
                <w:rFonts w:ascii="Calibri" w:eastAsia="Arial Unicode MS" w:hAnsi="Calibri"/>
              </w:rPr>
              <w:t>Gutlohn</w:t>
            </w:r>
            <w:proofErr w:type="spellEnd"/>
            <w:r w:rsidRPr="00506D00">
              <w:rPr>
                <w:rFonts w:ascii="Calibri" w:eastAsia="Arial Unicode MS" w:hAnsi="Calibri"/>
              </w:rPr>
              <w:t xml:space="preserve">, L. (2018). </w:t>
            </w:r>
            <w:r w:rsidRPr="00506D00">
              <w:rPr>
                <w:rFonts w:ascii="Calibri" w:eastAsia="Arial Unicode MS" w:hAnsi="Calibri"/>
                <w:i/>
                <w:iCs/>
              </w:rPr>
              <w:t>CORE Teaching Reading Sourcebook</w:t>
            </w:r>
            <w:r w:rsidRPr="00506D00">
              <w:rPr>
                <w:rFonts w:ascii="Calibri" w:eastAsia="Arial Unicode MS" w:hAnsi="Calibri"/>
              </w:rPr>
              <w:t xml:space="preserve"> (3</w:t>
            </w:r>
            <w:r w:rsidRPr="008700BE">
              <w:rPr>
                <w:rFonts w:ascii="Calibri" w:eastAsia="Arial Unicode MS" w:hAnsi="Calibri"/>
                <w:vertAlign w:val="superscript"/>
              </w:rPr>
              <w:t>rd</w:t>
            </w:r>
            <w:r>
              <w:rPr>
                <w:rFonts w:ascii="Calibri" w:eastAsia="Arial Unicode MS" w:hAnsi="Calibri"/>
              </w:rPr>
              <w:t xml:space="preserve"> </w:t>
            </w:r>
            <w:r w:rsidRPr="00506D00">
              <w:rPr>
                <w:rFonts w:ascii="Calibri" w:eastAsia="Arial Unicode MS" w:hAnsi="Calibri"/>
              </w:rPr>
              <w:t>e</w:t>
            </w:r>
            <w:r>
              <w:rPr>
                <w:rFonts w:ascii="Calibri" w:eastAsia="Arial Unicode MS" w:hAnsi="Calibri"/>
              </w:rPr>
              <w:t>d.</w:t>
            </w:r>
            <w:r w:rsidRPr="00506D00">
              <w:rPr>
                <w:rFonts w:ascii="Calibri" w:eastAsia="Arial Unicode MS" w:hAnsi="Calibri"/>
              </w:rPr>
              <w:t xml:space="preserve">). Novato, CA: Arena. </w:t>
            </w:r>
          </w:p>
        </w:tc>
        <w:tc>
          <w:tcPr>
            <w:tcW w:w="1800" w:type="dxa"/>
          </w:tcPr>
          <w:p w14:paraId="4F0FAFF2" w14:textId="7B431D82" w:rsidR="008700BE" w:rsidRDefault="008700BE" w:rsidP="008700BE">
            <w:pPr>
              <w:spacing w:before="40"/>
              <w:rPr>
                <w:rFonts w:ascii="Calibri" w:eastAsia="Arial Unicode MS" w:hAnsi="Calibri"/>
              </w:rPr>
            </w:pPr>
            <w:r>
              <w:rPr>
                <w:rFonts w:ascii="Calibri" w:eastAsia="Arial Unicode MS" w:hAnsi="Calibri"/>
              </w:rPr>
              <w:t>Undergraduate</w:t>
            </w:r>
          </w:p>
          <w:p w14:paraId="04F870C0" w14:textId="7E4F2ED8" w:rsidR="008700BE" w:rsidRDefault="008700BE" w:rsidP="008700BE">
            <w:pPr>
              <w:spacing w:before="40"/>
              <w:rPr>
                <w:rFonts w:ascii="Calibri" w:eastAsia="Arial Unicode MS" w:hAnsi="Calibri"/>
              </w:rPr>
            </w:pPr>
            <w:r>
              <w:rPr>
                <w:rFonts w:ascii="Calibri" w:eastAsia="Arial Unicode MS" w:hAnsi="Calibri"/>
              </w:rPr>
              <w:t>Graduate</w:t>
            </w:r>
          </w:p>
          <w:p w14:paraId="4D8CB251" w14:textId="130B6D3C" w:rsidR="008700BE" w:rsidRDefault="008700BE" w:rsidP="008700BE">
            <w:pPr>
              <w:spacing w:before="40"/>
              <w:rPr>
                <w:rFonts w:ascii="Calibri" w:eastAsia="Arial Unicode MS" w:hAnsi="Calibri"/>
              </w:rPr>
            </w:pPr>
          </w:p>
        </w:tc>
        <w:tc>
          <w:tcPr>
            <w:tcW w:w="8707" w:type="dxa"/>
          </w:tcPr>
          <w:p w14:paraId="127FFEB4" w14:textId="496C686C" w:rsidR="008700BE" w:rsidRPr="00506D00" w:rsidRDefault="008700BE" w:rsidP="008700BE">
            <w:pPr>
              <w:spacing w:before="40"/>
              <w:rPr>
                <w:rFonts w:ascii="Calibri" w:eastAsia="Arial Unicode MS" w:hAnsi="Calibri"/>
              </w:rPr>
            </w:pPr>
            <w:r>
              <w:rPr>
                <w:rFonts w:ascii="Calibri" w:eastAsia="Arial Unicode MS" w:hAnsi="Calibri"/>
              </w:rPr>
              <w:t xml:space="preserve">Provides a </w:t>
            </w:r>
            <w:r w:rsidR="0051259C">
              <w:rPr>
                <w:rFonts w:ascii="Calibri" w:eastAsia="Arial Unicode MS" w:hAnsi="Calibri"/>
              </w:rPr>
              <w:t>comprehensive overview of the essential elements of reading, including information about why each element is important and how to provide effective instruction and intervention.</w:t>
            </w:r>
          </w:p>
        </w:tc>
      </w:tr>
      <w:tr w:rsidR="000D543F" w:rsidRPr="00506D00" w14:paraId="2815E63D" w14:textId="77777777" w:rsidTr="00681775">
        <w:tc>
          <w:tcPr>
            <w:tcW w:w="1615" w:type="dxa"/>
          </w:tcPr>
          <w:p w14:paraId="00CA2CBB" w14:textId="77777777" w:rsidR="000D543F" w:rsidRPr="00506D00" w:rsidRDefault="000D543F" w:rsidP="00681775">
            <w:pPr>
              <w:spacing w:before="40"/>
              <w:rPr>
                <w:rFonts w:ascii="Calibri" w:hAnsi="Calibri"/>
                <w:bCs/>
              </w:rPr>
            </w:pPr>
            <w:r>
              <w:rPr>
                <w:rFonts w:ascii="Calibri" w:eastAsia="Arial Unicode MS" w:hAnsi="Calibri"/>
              </w:rPr>
              <w:t>Reading &amp; neuroscience</w:t>
            </w:r>
          </w:p>
        </w:tc>
        <w:tc>
          <w:tcPr>
            <w:tcW w:w="5850" w:type="dxa"/>
          </w:tcPr>
          <w:p w14:paraId="6722BF86" w14:textId="77777777" w:rsidR="000D543F" w:rsidRPr="00506D00" w:rsidRDefault="000D543F" w:rsidP="00681775">
            <w:pPr>
              <w:spacing w:before="40"/>
              <w:rPr>
                <w:rFonts w:ascii="Calibri" w:hAnsi="Calibri"/>
                <w:bCs/>
              </w:rPr>
            </w:pPr>
            <w:r w:rsidRPr="00506D00">
              <w:rPr>
                <w:rFonts w:ascii="Calibri" w:hAnsi="Calibri"/>
                <w:bCs/>
              </w:rPr>
              <w:t xml:space="preserve">Wolf, M. (2008). </w:t>
            </w:r>
            <w:r w:rsidRPr="00506D00">
              <w:rPr>
                <w:rFonts w:ascii="Calibri" w:hAnsi="Calibri"/>
                <w:bCs/>
                <w:i/>
              </w:rPr>
              <w:t>Proust and the squid: The story and science of the reading brain</w:t>
            </w:r>
            <w:r w:rsidRPr="00506D00">
              <w:rPr>
                <w:rFonts w:ascii="Calibri" w:hAnsi="Calibri"/>
                <w:bCs/>
              </w:rPr>
              <w:t>. Cambridge: Icon.</w:t>
            </w:r>
          </w:p>
        </w:tc>
        <w:tc>
          <w:tcPr>
            <w:tcW w:w="1800" w:type="dxa"/>
          </w:tcPr>
          <w:p w14:paraId="3B1A5D5C" w14:textId="77777777" w:rsidR="000D543F" w:rsidRPr="00506D00" w:rsidRDefault="000D543F" w:rsidP="00681775">
            <w:pPr>
              <w:spacing w:before="40"/>
              <w:rPr>
                <w:rFonts w:ascii="Calibri" w:hAnsi="Calibri"/>
                <w:bCs/>
              </w:rPr>
            </w:pPr>
            <w:r w:rsidRPr="00D04B24">
              <w:rPr>
                <w:rFonts w:ascii="Calibri" w:eastAsia="Arial Unicode MS" w:hAnsi="Calibri"/>
              </w:rPr>
              <w:t>Graduate</w:t>
            </w:r>
          </w:p>
        </w:tc>
        <w:tc>
          <w:tcPr>
            <w:tcW w:w="8707" w:type="dxa"/>
          </w:tcPr>
          <w:p w14:paraId="7D7C6404" w14:textId="77777777" w:rsidR="000D543F" w:rsidRPr="00506D00" w:rsidRDefault="000D543F" w:rsidP="00681775">
            <w:pPr>
              <w:spacing w:before="40"/>
              <w:rPr>
                <w:rFonts w:ascii="Calibri" w:hAnsi="Calibri"/>
                <w:bCs/>
              </w:rPr>
            </w:pPr>
            <w:proofErr w:type="gramStart"/>
            <w:r>
              <w:rPr>
                <w:rFonts w:ascii="Calibri" w:eastAsia="Arial Unicode MS" w:hAnsi="Calibri"/>
              </w:rPr>
              <w:t>Provides a</w:t>
            </w:r>
            <w:r>
              <w:rPr>
                <w:rFonts w:ascii="Calibri" w:hAnsi="Calibri"/>
              </w:rPr>
              <w:t>n introduction to</w:t>
            </w:r>
            <w:proofErr w:type="gramEnd"/>
            <w:r>
              <w:rPr>
                <w:rFonts w:ascii="Calibri" w:hAnsi="Calibri"/>
              </w:rPr>
              <w:t xml:space="preserve"> the neuroscience of reading, including how the brain processes spoken and written language.</w:t>
            </w:r>
          </w:p>
        </w:tc>
      </w:tr>
      <w:tr w:rsidR="008700BE" w:rsidRPr="00506D00" w14:paraId="7C48F81F" w14:textId="77777777" w:rsidTr="0051259C">
        <w:tc>
          <w:tcPr>
            <w:tcW w:w="1615" w:type="dxa"/>
          </w:tcPr>
          <w:p w14:paraId="196EF840" w14:textId="76377F59" w:rsidR="008700BE" w:rsidRPr="00506D00" w:rsidRDefault="008700BE" w:rsidP="00FD34B3">
            <w:pPr>
              <w:spacing w:before="40"/>
              <w:rPr>
                <w:rFonts w:ascii="Calibri" w:hAnsi="Calibri"/>
              </w:rPr>
            </w:pPr>
            <w:r>
              <w:rPr>
                <w:rFonts w:ascii="Calibri" w:eastAsia="Arial Unicode MS" w:hAnsi="Calibri"/>
              </w:rPr>
              <w:t>Reading</w:t>
            </w:r>
            <w:r w:rsidR="00FB02BB">
              <w:rPr>
                <w:rFonts w:ascii="Calibri" w:eastAsia="Arial Unicode MS" w:hAnsi="Calibri"/>
              </w:rPr>
              <w:t xml:space="preserve"> &amp; neuroscience</w:t>
            </w:r>
          </w:p>
        </w:tc>
        <w:tc>
          <w:tcPr>
            <w:tcW w:w="5850" w:type="dxa"/>
          </w:tcPr>
          <w:p w14:paraId="3B3D1838" w14:textId="2A5EFF25" w:rsidR="008700BE" w:rsidRPr="00506D00" w:rsidRDefault="008700BE" w:rsidP="00FD34B3">
            <w:pPr>
              <w:spacing w:before="40"/>
              <w:rPr>
                <w:rFonts w:ascii="Calibri" w:hAnsi="Calibri"/>
              </w:rPr>
            </w:pPr>
            <w:proofErr w:type="spellStart"/>
            <w:r w:rsidRPr="00506D00">
              <w:rPr>
                <w:rFonts w:ascii="Calibri" w:hAnsi="Calibri"/>
              </w:rPr>
              <w:t>Dehaene</w:t>
            </w:r>
            <w:proofErr w:type="spellEnd"/>
            <w:r w:rsidRPr="00506D00">
              <w:rPr>
                <w:rFonts w:ascii="Calibri" w:hAnsi="Calibri"/>
              </w:rPr>
              <w:t xml:space="preserve">, S. (2009). </w:t>
            </w:r>
            <w:r w:rsidRPr="00506D00">
              <w:rPr>
                <w:rFonts w:ascii="Calibri" w:hAnsi="Calibri"/>
                <w:i/>
              </w:rPr>
              <w:t>Reading in the brain: The new science of how we read</w:t>
            </w:r>
            <w:r w:rsidRPr="00506D00">
              <w:rPr>
                <w:rFonts w:ascii="Calibri" w:hAnsi="Calibri"/>
              </w:rPr>
              <w:t>. New York:  Penguin.</w:t>
            </w:r>
          </w:p>
        </w:tc>
        <w:tc>
          <w:tcPr>
            <w:tcW w:w="1800" w:type="dxa"/>
          </w:tcPr>
          <w:p w14:paraId="31D70039" w14:textId="77777777" w:rsidR="008700BE" w:rsidRPr="00506D00" w:rsidRDefault="008700BE" w:rsidP="00FD34B3">
            <w:pPr>
              <w:spacing w:before="40"/>
              <w:rPr>
                <w:rFonts w:ascii="Calibri" w:hAnsi="Calibri"/>
              </w:rPr>
            </w:pPr>
            <w:r>
              <w:rPr>
                <w:rFonts w:ascii="Calibri" w:eastAsia="Arial Unicode MS" w:hAnsi="Calibri"/>
              </w:rPr>
              <w:t>Graduate</w:t>
            </w:r>
          </w:p>
        </w:tc>
        <w:tc>
          <w:tcPr>
            <w:tcW w:w="8707" w:type="dxa"/>
          </w:tcPr>
          <w:p w14:paraId="2030696B" w14:textId="02AB5DF3" w:rsidR="008700BE" w:rsidRPr="00506D00" w:rsidRDefault="0051259C" w:rsidP="00FD34B3">
            <w:pPr>
              <w:spacing w:before="40"/>
              <w:rPr>
                <w:rFonts w:ascii="Calibri" w:hAnsi="Calibri"/>
              </w:rPr>
            </w:pPr>
            <w:proofErr w:type="gramStart"/>
            <w:r>
              <w:rPr>
                <w:rFonts w:ascii="Calibri" w:eastAsia="Arial Unicode MS" w:hAnsi="Calibri"/>
              </w:rPr>
              <w:t>Provides a</w:t>
            </w:r>
            <w:r>
              <w:rPr>
                <w:rFonts w:ascii="Calibri" w:hAnsi="Calibri"/>
              </w:rPr>
              <w:t>n introduction to</w:t>
            </w:r>
            <w:proofErr w:type="gramEnd"/>
            <w:r>
              <w:rPr>
                <w:rFonts w:ascii="Calibri" w:hAnsi="Calibri"/>
              </w:rPr>
              <w:t xml:space="preserve"> the neuroscience of reading, including how the brain processes spoken and written language.</w:t>
            </w:r>
          </w:p>
        </w:tc>
      </w:tr>
      <w:tr w:rsidR="008700BE" w:rsidRPr="00506D00" w14:paraId="6CDC5A83" w14:textId="535B0081" w:rsidTr="0051259C">
        <w:tc>
          <w:tcPr>
            <w:tcW w:w="1615" w:type="dxa"/>
          </w:tcPr>
          <w:p w14:paraId="2DFAB0CE" w14:textId="676C685D" w:rsidR="008700BE" w:rsidRPr="00506D00" w:rsidRDefault="008700BE" w:rsidP="008700BE">
            <w:pPr>
              <w:spacing w:before="40"/>
              <w:rPr>
                <w:rFonts w:ascii="Calibri" w:eastAsia="Arial Unicode MS" w:hAnsi="Calibri"/>
              </w:rPr>
            </w:pPr>
            <w:r>
              <w:rPr>
                <w:rFonts w:ascii="Calibri" w:eastAsia="Arial Unicode MS" w:hAnsi="Calibri"/>
              </w:rPr>
              <w:t>Dyslexia overview</w:t>
            </w:r>
          </w:p>
        </w:tc>
        <w:tc>
          <w:tcPr>
            <w:tcW w:w="5850" w:type="dxa"/>
          </w:tcPr>
          <w:p w14:paraId="4154CA29" w14:textId="51365F81" w:rsidR="008700BE" w:rsidRPr="00506D00" w:rsidRDefault="008700BE" w:rsidP="008700BE">
            <w:pPr>
              <w:spacing w:before="40"/>
              <w:rPr>
                <w:rFonts w:ascii="Calibri" w:eastAsia="Arial Unicode MS" w:hAnsi="Calibri"/>
              </w:rPr>
            </w:pPr>
            <w:r w:rsidRPr="00506D00">
              <w:rPr>
                <w:rFonts w:ascii="Calibri" w:eastAsia="Arial Unicode MS" w:hAnsi="Calibri"/>
              </w:rPr>
              <w:t xml:space="preserve">Hasbrouck, J. (2020). </w:t>
            </w:r>
            <w:r w:rsidRPr="00506D00">
              <w:rPr>
                <w:rFonts w:ascii="Calibri" w:eastAsia="Arial Unicode MS" w:hAnsi="Calibri"/>
                <w:i/>
                <w:iCs/>
              </w:rPr>
              <w:t>Conquering Dyslexia: A Guide to Early Detection and Intervention</w:t>
            </w:r>
            <w:r w:rsidRPr="00506D00">
              <w:rPr>
                <w:rFonts w:ascii="Calibri" w:eastAsia="Arial Unicode MS" w:hAnsi="Calibri"/>
              </w:rPr>
              <w:t>. New Rochelle, NY: Benchmark.</w:t>
            </w:r>
          </w:p>
        </w:tc>
        <w:tc>
          <w:tcPr>
            <w:tcW w:w="1800" w:type="dxa"/>
          </w:tcPr>
          <w:p w14:paraId="0916656A" w14:textId="77777777" w:rsidR="008700BE" w:rsidRDefault="008700BE" w:rsidP="008700BE">
            <w:pPr>
              <w:spacing w:before="40"/>
              <w:rPr>
                <w:rFonts w:ascii="Calibri" w:eastAsia="Arial Unicode MS" w:hAnsi="Calibri"/>
              </w:rPr>
            </w:pPr>
            <w:r>
              <w:rPr>
                <w:rFonts w:ascii="Calibri" w:eastAsia="Arial Unicode MS" w:hAnsi="Calibri"/>
              </w:rPr>
              <w:t>Undergraduate</w:t>
            </w:r>
          </w:p>
          <w:p w14:paraId="3B3D56A5" w14:textId="77777777" w:rsidR="008700BE" w:rsidRDefault="008700BE" w:rsidP="008700BE">
            <w:pPr>
              <w:spacing w:before="40"/>
              <w:rPr>
                <w:rFonts w:ascii="Calibri" w:eastAsia="Arial Unicode MS" w:hAnsi="Calibri"/>
              </w:rPr>
            </w:pPr>
            <w:r>
              <w:rPr>
                <w:rFonts w:ascii="Calibri" w:eastAsia="Arial Unicode MS" w:hAnsi="Calibri"/>
              </w:rPr>
              <w:t>Graduate</w:t>
            </w:r>
          </w:p>
          <w:p w14:paraId="3C273005" w14:textId="3C0AE595" w:rsidR="008700BE" w:rsidRPr="00506D00" w:rsidRDefault="008700BE" w:rsidP="008700BE">
            <w:pPr>
              <w:spacing w:before="40"/>
              <w:rPr>
                <w:rFonts w:ascii="Calibri" w:eastAsia="Arial Unicode MS" w:hAnsi="Calibri"/>
              </w:rPr>
            </w:pPr>
          </w:p>
        </w:tc>
        <w:tc>
          <w:tcPr>
            <w:tcW w:w="8707" w:type="dxa"/>
          </w:tcPr>
          <w:p w14:paraId="652F28C8" w14:textId="75329BD1" w:rsidR="008700BE" w:rsidRPr="00506D00" w:rsidRDefault="00FB02BB" w:rsidP="00FB02BB">
            <w:pPr>
              <w:spacing w:before="40"/>
              <w:rPr>
                <w:rFonts w:ascii="Calibri" w:eastAsia="Arial Unicode MS" w:hAnsi="Calibri"/>
              </w:rPr>
            </w:pPr>
            <w:r>
              <w:rPr>
                <w:rFonts w:ascii="Calibri" w:eastAsia="Arial Unicode MS" w:hAnsi="Calibri"/>
              </w:rPr>
              <w:t>Provides a practical overview of dyslexia, including the definitions, procedures for identification, and methods for instruction.  Emphasis is on essential information for parents and teachers to navigate dyslexia in schools.</w:t>
            </w:r>
          </w:p>
        </w:tc>
      </w:tr>
      <w:tr w:rsidR="008700BE" w:rsidRPr="00723023" w14:paraId="19B6F7A3" w14:textId="5D3C6B47" w:rsidTr="0051259C">
        <w:tc>
          <w:tcPr>
            <w:tcW w:w="1615" w:type="dxa"/>
          </w:tcPr>
          <w:p w14:paraId="72DB0083" w14:textId="184B6FAE" w:rsidR="008700BE" w:rsidRPr="00506D00" w:rsidRDefault="008700BE" w:rsidP="008700BE">
            <w:pPr>
              <w:spacing w:before="40"/>
              <w:rPr>
                <w:rFonts w:ascii="Calibri" w:eastAsia="Arial Unicode MS" w:hAnsi="Calibri"/>
              </w:rPr>
            </w:pPr>
            <w:r>
              <w:rPr>
                <w:rFonts w:ascii="Calibri" w:eastAsia="Arial Unicode MS" w:hAnsi="Calibri"/>
              </w:rPr>
              <w:t>Dyslexia overview</w:t>
            </w:r>
          </w:p>
        </w:tc>
        <w:tc>
          <w:tcPr>
            <w:tcW w:w="5850" w:type="dxa"/>
          </w:tcPr>
          <w:p w14:paraId="5C8948B4" w14:textId="055D999E" w:rsidR="008700BE" w:rsidRPr="00723023" w:rsidRDefault="008700BE" w:rsidP="008700BE">
            <w:pPr>
              <w:spacing w:before="40"/>
              <w:rPr>
                <w:rFonts w:ascii="Calibri" w:eastAsia="Arial Unicode MS" w:hAnsi="Calibri"/>
              </w:rPr>
            </w:pPr>
            <w:proofErr w:type="spellStart"/>
            <w:r w:rsidRPr="00506D00">
              <w:rPr>
                <w:rFonts w:ascii="Calibri" w:eastAsia="Arial Unicode MS" w:hAnsi="Calibri"/>
              </w:rPr>
              <w:t>Shaywitz</w:t>
            </w:r>
            <w:proofErr w:type="spellEnd"/>
            <w:r w:rsidRPr="00506D00">
              <w:rPr>
                <w:rFonts w:ascii="Calibri" w:eastAsia="Arial Unicode MS" w:hAnsi="Calibri"/>
              </w:rPr>
              <w:t xml:space="preserve">, S. (2020).  </w:t>
            </w:r>
            <w:r w:rsidRPr="00506D00">
              <w:rPr>
                <w:rFonts w:ascii="Calibri" w:eastAsia="Arial Unicode MS" w:hAnsi="Calibri"/>
                <w:i/>
                <w:iCs/>
              </w:rPr>
              <w:t>Overcoming Dyslexia</w:t>
            </w:r>
            <w:r w:rsidRPr="00506D00">
              <w:rPr>
                <w:rFonts w:ascii="Calibri" w:eastAsia="Arial Unicode MS" w:hAnsi="Calibri"/>
              </w:rPr>
              <w:t xml:space="preserve">. </w:t>
            </w:r>
            <w:r w:rsidRPr="00723023">
              <w:rPr>
                <w:rFonts w:ascii="Calibri" w:eastAsia="Arial Unicode MS" w:hAnsi="Calibri"/>
              </w:rPr>
              <w:t>(2nd ed.). Vintage</w:t>
            </w:r>
          </w:p>
        </w:tc>
        <w:tc>
          <w:tcPr>
            <w:tcW w:w="1800" w:type="dxa"/>
          </w:tcPr>
          <w:p w14:paraId="7FD9C7E1" w14:textId="77777777" w:rsidR="008700BE" w:rsidRDefault="008700BE" w:rsidP="008700BE">
            <w:pPr>
              <w:spacing w:before="40"/>
              <w:rPr>
                <w:rFonts w:ascii="Calibri" w:eastAsia="Arial Unicode MS" w:hAnsi="Calibri"/>
              </w:rPr>
            </w:pPr>
            <w:r>
              <w:rPr>
                <w:rFonts w:ascii="Calibri" w:eastAsia="Arial Unicode MS" w:hAnsi="Calibri"/>
              </w:rPr>
              <w:t>Undergraduate</w:t>
            </w:r>
          </w:p>
          <w:p w14:paraId="6AB9BDF4" w14:textId="1B5859DA" w:rsidR="008700BE" w:rsidRPr="008700BE" w:rsidRDefault="008700BE" w:rsidP="008700BE">
            <w:pPr>
              <w:spacing w:before="40"/>
              <w:rPr>
                <w:rFonts w:ascii="Calibri" w:eastAsia="Arial Unicode MS" w:hAnsi="Calibri"/>
                <w:color w:val="000000"/>
              </w:rPr>
            </w:pPr>
            <w:r>
              <w:rPr>
                <w:rFonts w:ascii="Calibri" w:eastAsia="Arial Unicode MS" w:hAnsi="Calibri"/>
              </w:rPr>
              <w:t>Graduate</w:t>
            </w:r>
          </w:p>
        </w:tc>
        <w:tc>
          <w:tcPr>
            <w:tcW w:w="8707" w:type="dxa"/>
          </w:tcPr>
          <w:p w14:paraId="71EC6ED6" w14:textId="6B6EC794" w:rsidR="008700BE" w:rsidRPr="00506D00" w:rsidRDefault="00FB02BB" w:rsidP="008700BE">
            <w:pPr>
              <w:spacing w:before="40"/>
              <w:rPr>
                <w:rFonts w:ascii="Calibri" w:eastAsia="Arial Unicode MS" w:hAnsi="Calibri"/>
              </w:rPr>
            </w:pPr>
            <w:r>
              <w:rPr>
                <w:rFonts w:ascii="Calibri" w:eastAsia="Arial Unicode MS" w:hAnsi="Calibri"/>
              </w:rPr>
              <w:t>Provides an overview of dyslexia, including the definitions, procedures for identification, and methods for instruction. Emphasis is on neuroscience.</w:t>
            </w:r>
          </w:p>
        </w:tc>
      </w:tr>
      <w:tr w:rsidR="000461F9" w:rsidRPr="00506D00" w14:paraId="1EFABBBB" w14:textId="77777777" w:rsidTr="0051259C">
        <w:tc>
          <w:tcPr>
            <w:tcW w:w="1615" w:type="dxa"/>
          </w:tcPr>
          <w:p w14:paraId="1CBD7515" w14:textId="0C4CCE17" w:rsidR="000461F9" w:rsidRPr="00506D00" w:rsidRDefault="000461F9" w:rsidP="00C94D40">
            <w:pPr>
              <w:spacing w:before="40"/>
              <w:rPr>
                <w:rFonts w:ascii="Calibri" w:eastAsia="Arial Unicode MS" w:hAnsi="Calibri"/>
              </w:rPr>
            </w:pPr>
            <w:r>
              <w:rPr>
                <w:rFonts w:ascii="Calibri" w:eastAsia="Arial Unicode MS" w:hAnsi="Calibri"/>
              </w:rPr>
              <w:t>Language overview</w:t>
            </w:r>
          </w:p>
        </w:tc>
        <w:tc>
          <w:tcPr>
            <w:tcW w:w="5850" w:type="dxa"/>
          </w:tcPr>
          <w:p w14:paraId="3B3B1BF5" w14:textId="77777777" w:rsidR="000461F9" w:rsidRDefault="000461F9" w:rsidP="00C94D40">
            <w:pPr>
              <w:spacing w:before="40"/>
              <w:rPr>
                <w:rFonts w:ascii="Calibri" w:eastAsia="Arial Unicode MS" w:hAnsi="Calibri"/>
              </w:rPr>
            </w:pPr>
            <w:r w:rsidRPr="00506D00">
              <w:rPr>
                <w:rFonts w:ascii="Calibri" w:eastAsia="Arial Unicode MS" w:hAnsi="Calibri"/>
              </w:rPr>
              <w:t xml:space="preserve">Moats, L. C. (2020). </w:t>
            </w:r>
            <w:r w:rsidRPr="00506D00">
              <w:rPr>
                <w:rFonts w:ascii="Calibri" w:eastAsia="Arial Unicode MS" w:hAnsi="Calibri"/>
                <w:i/>
                <w:iCs/>
              </w:rPr>
              <w:t>Speech to Print: Language Essentials for Teachers</w:t>
            </w:r>
            <w:r w:rsidRPr="00506D00">
              <w:rPr>
                <w:rFonts w:ascii="Calibri" w:eastAsia="Arial Unicode MS" w:hAnsi="Calibri"/>
              </w:rPr>
              <w:t> (3</w:t>
            </w:r>
            <w:r w:rsidRPr="00506D00">
              <w:rPr>
                <w:rFonts w:ascii="Calibri" w:eastAsia="Arial Unicode MS" w:hAnsi="Calibri"/>
                <w:vertAlign w:val="superscript"/>
              </w:rPr>
              <w:t>rd</w:t>
            </w:r>
            <w:r w:rsidRPr="00506D00">
              <w:rPr>
                <w:rFonts w:ascii="Calibri" w:eastAsia="Arial Unicode MS" w:hAnsi="Calibri"/>
              </w:rPr>
              <w:t> ed</w:t>
            </w:r>
            <w:r>
              <w:rPr>
                <w:rFonts w:ascii="Calibri" w:eastAsia="Arial Unicode MS" w:hAnsi="Calibri"/>
              </w:rPr>
              <w:t>.</w:t>
            </w:r>
            <w:r w:rsidRPr="00506D00">
              <w:rPr>
                <w:rFonts w:ascii="Calibri" w:eastAsia="Arial Unicode MS" w:hAnsi="Calibri"/>
              </w:rPr>
              <w:t xml:space="preserve">). Baltimore: Brookes. </w:t>
            </w:r>
          </w:p>
          <w:p w14:paraId="47437A47" w14:textId="77777777" w:rsidR="000D543F" w:rsidRPr="00127B0B" w:rsidRDefault="000D543F" w:rsidP="00C94D40">
            <w:pPr>
              <w:spacing w:before="40"/>
              <w:rPr>
                <w:rFonts w:ascii="Calibri" w:eastAsia="Arial Unicode MS" w:hAnsi="Calibri"/>
                <w:sz w:val="20"/>
                <w:szCs w:val="20"/>
              </w:rPr>
            </w:pPr>
            <w:r w:rsidRPr="00127B0B">
              <w:rPr>
                <w:rFonts w:ascii="Calibri" w:eastAsia="Arial Unicode MS" w:hAnsi="Calibri"/>
                <w:sz w:val="20"/>
                <w:szCs w:val="20"/>
              </w:rPr>
              <w:t>and</w:t>
            </w:r>
          </w:p>
          <w:p w14:paraId="2B41765B" w14:textId="62671115" w:rsidR="000D543F" w:rsidRPr="00506D00" w:rsidRDefault="000D543F" w:rsidP="00C94D40">
            <w:pPr>
              <w:spacing w:before="40"/>
              <w:rPr>
                <w:rFonts w:ascii="Calibri" w:eastAsia="Arial Unicode MS" w:hAnsi="Calibri"/>
              </w:rPr>
            </w:pPr>
            <w:r w:rsidRPr="00506D00">
              <w:rPr>
                <w:rFonts w:ascii="Calibri" w:eastAsia="Arial Unicode MS" w:hAnsi="Calibri"/>
              </w:rPr>
              <w:t xml:space="preserve">Moats, L. C., &amp; </w:t>
            </w:r>
            <w:proofErr w:type="spellStart"/>
            <w:r w:rsidRPr="00506D00">
              <w:rPr>
                <w:rFonts w:ascii="Calibri" w:eastAsia="Arial Unicode MS" w:hAnsi="Calibri"/>
              </w:rPr>
              <w:t>Rosow</w:t>
            </w:r>
            <w:proofErr w:type="spellEnd"/>
            <w:r w:rsidRPr="00506D00">
              <w:rPr>
                <w:rFonts w:ascii="Calibri" w:eastAsia="Arial Unicode MS" w:hAnsi="Calibri"/>
              </w:rPr>
              <w:t xml:space="preserve">, B. L. (2020). </w:t>
            </w:r>
            <w:r w:rsidRPr="00506D00">
              <w:rPr>
                <w:rFonts w:ascii="Calibri" w:eastAsia="Arial Unicode MS" w:hAnsi="Calibri"/>
                <w:i/>
                <w:iCs/>
              </w:rPr>
              <w:t>Speech to Print: Language Exercises for Teachers</w:t>
            </w:r>
            <w:r>
              <w:rPr>
                <w:rFonts w:ascii="Calibri" w:eastAsia="Arial Unicode MS" w:hAnsi="Calibri"/>
                <w:i/>
                <w:iCs/>
              </w:rPr>
              <w:t xml:space="preserve"> </w:t>
            </w:r>
            <w:r w:rsidRPr="00506D00">
              <w:rPr>
                <w:rFonts w:ascii="Calibri" w:eastAsia="Arial Unicode MS" w:hAnsi="Calibri"/>
                <w:i/>
                <w:iCs/>
              </w:rPr>
              <w:t>Workbook</w:t>
            </w:r>
            <w:r>
              <w:rPr>
                <w:rFonts w:ascii="Calibri" w:eastAsia="Arial Unicode MS" w:hAnsi="Calibri"/>
                <w:i/>
                <w:iCs/>
              </w:rPr>
              <w:t xml:space="preserve"> </w:t>
            </w:r>
            <w:r w:rsidRPr="00506D00">
              <w:rPr>
                <w:rFonts w:ascii="Calibri" w:eastAsia="Arial Unicode MS" w:hAnsi="Calibri"/>
              </w:rPr>
              <w:t>(3</w:t>
            </w:r>
            <w:r w:rsidRPr="00506D00">
              <w:rPr>
                <w:rFonts w:ascii="Calibri" w:eastAsia="Arial Unicode MS" w:hAnsi="Calibri"/>
                <w:vertAlign w:val="superscript"/>
              </w:rPr>
              <w:t>rd</w:t>
            </w:r>
            <w:r>
              <w:rPr>
                <w:rFonts w:ascii="Calibri" w:eastAsia="Arial Unicode MS" w:hAnsi="Calibri"/>
              </w:rPr>
              <w:t xml:space="preserve"> </w:t>
            </w:r>
            <w:r w:rsidRPr="00506D00">
              <w:rPr>
                <w:rFonts w:ascii="Calibri" w:eastAsia="Arial Unicode MS" w:hAnsi="Calibri"/>
              </w:rPr>
              <w:t>ed</w:t>
            </w:r>
            <w:r>
              <w:rPr>
                <w:rFonts w:ascii="Calibri" w:eastAsia="Arial Unicode MS" w:hAnsi="Calibri"/>
              </w:rPr>
              <w:t>.</w:t>
            </w:r>
            <w:r w:rsidRPr="00506D00">
              <w:rPr>
                <w:rFonts w:ascii="Calibri" w:eastAsia="Arial Unicode MS" w:hAnsi="Calibri"/>
              </w:rPr>
              <w:t>).</w:t>
            </w:r>
            <w:r>
              <w:rPr>
                <w:rFonts w:ascii="Calibri" w:eastAsia="Arial Unicode MS" w:hAnsi="Calibri"/>
              </w:rPr>
              <w:t xml:space="preserve"> </w:t>
            </w:r>
            <w:r w:rsidRPr="00506D00">
              <w:rPr>
                <w:rFonts w:ascii="Calibri" w:eastAsia="Arial Unicode MS" w:hAnsi="Calibri"/>
              </w:rPr>
              <w:t>Baltimore:</w:t>
            </w:r>
            <w:r>
              <w:rPr>
                <w:rFonts w:ascii="Calibri" w:eastAsia="Arial Unicode MS" w:hAnsi="Calibri"/>
              </w:rPr>
              <w:t xml:space="preserve"> </w:t>
            </w:r>
            <w:r w:rsidRPr="00506D00">
              <w:rPr>
                <w:rFonts w:ascii="Calibri" w:eastAsia="Arial Unicode MS" w:hAnsi="Calibri"/>
              </w:rPr>
              <w:t>Brookes.</w:t>
            </w:r>
          </w:p>
        </w:tc>
        <w:tc>
          <w:tcPr>
            <w:tcW w:w="1800" w:type="dxa"/>
          </w:tcPr>
          <w:p w14:paraId="09663EBA" w14:textId="77777777" w:rsidR="000461F9" w:rsidRDefault="000461F9" w:rsidP="00C94D40">
            <w:pPr>
              <w:spacing w:before="40"/>
              <w:rPr>
                <w:rFonts w:ascii="Calibri" w:eastAsia="Arial Unicode MS" w:hAnsi="Calibri"/>
              </w:rPr>
            </w:pPr>
            <w:r>
              <w:rPr>
                <w:rFonts w:ascii="Calibri" w:eastAsia="Arial Unicode MS" w:hAnsi="Calibri"/>
              </w:rPr>
              <w:t>Undergraduate</w:t>
            </w:r>
          </w:p>
          <w:p w14:paraId="207C3293" w14:textId="6B2E8481" w:rsidR="000461F9" w:rsidRPr="00506D00" w:rsidRDefault="000461F9" w:rsidP="00C94D40">
            <w:pPr>
              <w:spacing w:before="40"/>
              <w:rPr>
                <w:rFonts w:ascii="Calibri" w:eastAsia="Arial Unicode MS" w:hAnsi="Calibri"/>
              </w:rPr>
            </w:pPr>
            <w:r>
              <w:rPr>
                <w:rFonts w:ascii="Calibri" w:eastAsia="Arial Unicode MS" w:hAnsi="Calibri"/>
              </w:rPr>
              <w:t>Graduate</w:t>
            </w:r>
          </w:p>
        </w:tc>
        <w:tc>
          <w:tcPr>
            <w:tcW w:w="8707" w:type="dxa"/>
          </w:tcPr>
          <w:p w14:paraId="584E33AF" w14:textId="55F21080" w:rsidR="000461F9" w:rsidRDefault="000D543F" w:rsidP="00C94D40">
            <w:pPr>
              <w:spacing w:before="40"/>
              <w:rPr>
                <w:rFonts w:ascii="Calibri" w:eastAsia="Arial Unicode MS" w:hAnsi="Calibri"/>
              </w:rPr>
            </w:pPr>
            <w:r w:rsidRPr="00506D00">
              <w:rPr>
                <w:rFonts w:ascii="Calibri" w:eastAsia="Arial Unicode MS" w:hAnsi="Calibri"/>
                <w:i/>
                <w:iCs/>
              </w:rPr>
              <w:t>Speech to Print</w:t>
            </w:r>
            <w:r>
              <w:rPr>
                <w:rFonts w:ascii="Calibri" w:eastAsia="Arial Unicode MS" w:hAnsi="Calibri"/>
              </w:rPr>
              <w:t xml:space="preserve"> provides a deep dive into the linguistics involved in reading, including phonology and phonetics, orthography, morphology, semantics, and syntax.  Relates each of these areas to reading assessment and instruction. Includes practice exercises to promote application of concepts.</w:t>
            </w:r>
          </w:p>
          <w:p w14:paraId="57ACE5DA" w14:textId="1C61408F" w:rsidR="000D543F" w:rsidRPr="00506D00" w:rsidRDefault="000D543F" w:rsidP="00C94D40">
            <w:pPr>
              <w:spacing w:before="40"/>
              <w:rPr>
                <w:rFonts w:ascii="Calibri" w:eastAsia="Arial Unicode MS" w:hAnsi="Calibri"/>
              </w:rPr>
            </w:pPr>
            <w:r>
              <w:rPr>
                <w:rFonts w:ascii="Calibri" w:eastAsia="Arial Unicode MS" w:hAnsi="Calibri"/>
              </w:rPr>
              <w:t>The accompanying workbook provides additional practice exercises in each area addressed.</w:t>
            </w:r>
          </w:p>
        </w:tc>
      </w:tr>
      <w:tr w:rsidR="000D543F" w:rsidRPr="00506D00" w14:paraId="1B2BA868" w14:textId="77777777" w:rsidTr="006A2755">
        <w:tc>
          <w:tcPr>
            <w:tcW w:w="1615" w:type="dxa"/>
          </w:tcPr>
          <w:p w14:paraId="5E6B94D7" w14:textId="77777777" w:rsidR="000D543F" w:rsidRPr="000461F9" w:rsidRDefault="000D543F" w:rsidP="006A2755">
            <w:pPr>
              <w:spacing w:before="40"/>
              <w:rPr>
                <w:rFonts w:ascii="Calibri" w:hAnsi="Calibri"/>
              </w:rPr>
            </w:pPr>
            <w:r w:rsidRPr="000461F9">
              <w:rPr>
                <w:rFonts w:ascii="Calibri" w:hAnsi="Calibri"/>
              </w:rPr>
              <w:t xml:space="preserve">Assessment &amp; intervention </w:t>
            </w:r>
            <w:r w:rsidRPr="000461F9">
              <w:rPr>
                <w:rFonts w:ascii="Calibri" w:eastAsia="Arial Unicode MS" w:hAnsi="Calibri"/>
              </w:rPr>
              <w:t>methods</w:t>
            </w:r>
          </w:p>
        </w:tc>
        <w:tc>
          <w:tcPr>
            <w:tcW w:w="5850" w:type="dxa"/>
          </w:tcPr>
          <w:p w14:paraId="6039F32A" w14:textId="77777777" w:rsidR="000D543F" w:rsidRPr="000461F9" w:rsidRDefault="000D543F" w:rsidP="006A2755">
            <w:pPr>
              <w:spacing w:before="40"/>
              <w:rPr>
                <w:rFonts w:ascii="Calibri" w:hAnsi="Calibri"/>
              </w:rPr>
            </w:pPr>
            <w:r w:rsidRPr="000461F9">
              <w:rPr>
                <w:rFonts w:ascii="Calibri" w:hAnsi="Calibri"/>
              </w:rPr>
              <w:t xml:space="preserve">Mather, N., &amp; Wendling, B. J. (2011). </w:t>
            </w:r>
            <w:r w:rsidRPr="000461F9">
              <w:rPr>
                <w:rFonts w:ascii="Calibri" w:hAnsi="Calibri"/>
                <w:i/>
              </w:rPr>
              <w:t>Essentials of dyslexia assessment and intervention</w:t>
            </w:r>
            <w:r w:rsidRPr="000461F9">
              <w:rPr>
                <w:rFonts w:ascii="Calibri" w:hAnsi="Calibri"/>
              </w:rPr>
              <w:t>. Hoboken, NJ:  Wiley &amp; Sons.</w:t>
            </w:r>
          </w:p>
        </w:tc>
        <w:tc>
          <w:tcPr>
            <w:tcW w:w="1800" w:type="dxa"/>
          </w:tcPr>
          <w:p w14:paraId="2A328427" w14:textId="77777777" w:rsidR="000D543F" w:rsidRPr="00506D00" w:rsidRDefault="000D543F" w:rsidP="006A2755">
            <w:pPr>
              <w:spacing w:before="40"/>
              <w:rPr>
                <w:rFonts w:ascii="Calibri" w:hAnsi="Calibri"/>
                <w:highlight w:val="yellow"/>
              </w:rPr>
            </w:pPr>
            <w:r w:rsidRPr="00D04B24">
              <w:rPr>
                <w:rFonts w:ascii="Calibri" w:eastAsia="Arial Unicode MS" w:hAnsi="Calibri"/>
              </w:rPr>
              <w:t>Graduate</w:t>
            </w:r>
          </w:p>
        </w:tc>
        <w:tc>
          <w:tcPr>
            <w:tcW w:w="8707" w:type="dxa"/>
          </w:tcPr>
          <w:p w14:paraId="6F04833D" w14:textId="3D2D49CE" w:rsidR="000D543F" w:rsidRPr="000D543F" w:rsidRDefault="000D543F" w:rsidP="005772FE">
            <w:pPr>
              <w:spacing w:before="40"/>
              <w:rPr>
                <w:rFonts w:ascii="Calibri" w:eastAsia="Arial Unicode MS" w:hAnsi="Calibri"/>
                <w:i/>
                <w:iCs/>
              </w:rPr>
            </w:pPr>
            <w:r>
              <w:rPr>
                <w:rFonts w:ascii="Calibri" w:eastAsia="Arial Unicode MS" w:hAnsi="Calibri"/>
              </w:rPr>
              <w:t>P</w:t>
            </w:r>
            <w:r w:rsidRPr="000D543F">
              <w:rPr>
                <w:rFonts w:ascii="Calibri" w:eastAsia="Arial Unicode MS" w:hAnsi="Calibri"/>
              </w:rPr>
              <w:t xml:space="preserve">rovides practical information on identifying, assessing, and using evidence-based interventions with individuals with dyslexia. </w:t>
            </w:r>
          </w:p>
        </w:tc>
      </w:tr>
      <w:tr w:rsidR="000461F9" w:rsidRPr="00506D00" w14:paraId="1F065643" w14:textId="77777777" w:rsidTr="0051259C">
        <w:tc>
          <w:tcPr>
            <w:tcW w:w="1615" w:type="dxa"/>
          </w:tcPr>
          <w:p w14:paraId="66B281C5" w14:textId="2DF3F016" w:rsidR="000461F9" w:rsidRPr="000461F9" w:rsidRDefault="000461F9" w:rsidP="006439CE">
            <w:pPr>
              <w:spacing w:before="40"/>
              <w:rPr>
                <w:rFonts w:ascii="Calibri" w:hAnsi="Calibri"/>
              </w:rPr>
            </w:pPr>
            <w:r w:rsidRPr="000461F9">
              <w:rPr>
                <w:rFonts w:ascii="Calibri" w:hAnsi="Calibri"/>
              </w:rPr>
              <w:t xml:space="preserve">Assessment &amp; intervention </w:t>
            </w:r>
            <w:r w:rsidRPr="000461F9">
              <w:rPr>
                <w:rFonts w:ascii="Calibri" w:eastAsia="Arial Unicode MS" w:hAnsi="Calibri"/>
              </w:rPr>
              <w:t>methods</w:t>
            </w:r>
          </w:p>
        </w:tc>
        <w:tc>
          <w:tcPr>
            <w:tcW w:w="5850" w:type="dxa"/>
          </w:tcPr>
          <w:p w14:paraId="692952CF" w14:textId="2972039B" w:rsidR="000461F9" w:rsidRPr="000461F9" w:rsidRDefault="000461F9" w:rsidP="000461F9">
            <w:r w:rsidRPr="000461F9">
              <w:rPr>
                <w:rFonts w:ascii="Calibri" w:hAnsi="Calibri"/>
              </w:rPr>
              <w:t xml:space="preserve">Kilpatrick, D. A. (2015). </w:t>
            </w:r>
            <w:r w:rsidRPr="000461F9">
              <w:rPr>
                <w:rFonts w:ascii="Calibri" w:hAnsi="Calibri"/>
                <w:i/>
                <w:iCs/>
              </w:rPr>
              <w:t>Essentials of assessing, preventing, and overcoming reading difficulties</w:t>
            </w:r>
            <w:r w:rsidRPr="000461F9">
              <w:rPr>
                <w:rFonts w:ascii="Calibri" w:hAnsi="Calibri"/>
              </w:rPr>
              <w:t>. Hoboken, NJ:  Wiley &amp; Sons.</w:t>
            </w:r>
          </w:p>
        </w:tc>
        <w:tc>
          <w:tcPr>
            <w:tcW w:w="1800" w:type="dxa"/>
          </w:tcPr>
          <w:p w14:paraId="715AACC8" w14:textId="41FA5AEE" w:rsidR="000461F9" w:rsidRPr="00D04B24" w:rsidRDefault="000461F9" w:rsidP="006439CE">
            <w:pPr>
              <w:spacing w:before="40"/>
              <w:rPr>
                <w:rFonts w:ascii="Calibri" w:eastAsia="Arial Unicode MS" w:hAnsi="Calibri"/>
              </w:rPr>
            </w:pPr>
            <w:r w:rsidRPr="00D04B24">
              <w:rPr>
                <w:rFonts w:ascii="Calibri" w:eastAsia="Arial Unicode MS" w:hAnsi="Calibri"/>
              </w:rPr>
              <w:t>Graduate</w:t>
            </w:r>
          </w:p>
        </w:tc>
        <w:tc>
          <w:tcPr>
            <w:tcW w:w="8707" w:type="dxa"/>
          </w:tcPr>
          <w:p w14:paraId="20CE08EB" w14:textId="4FDE11E5" w:rsidR="005772FE" w:rsidRPr="005772FE" w:rsidRDefault="005772FE" w:rsidP="005772FE">
            <w:pPr>
              <w:spacing w:before="40"/>
              <w:rPr>
                <w:rFonts w:ascii="Calibri" w:eastAsia="Arial Unicode MS" w:hAnsi="Calibri"/>
              </w:rPr>
            </w:pPr>
            <w:r>
              <w:rPr>
                <w:rFonts w:ascii="Calibri" w:eastAsia="Arial Unicode MS" w:hAnsi="Calibri"/>
              </w:rPr>
              <w:t>P</w:t>
            </w:r>
            <w:r w:rsidRPr="000D543F">
              <w:rPr>
                <w:rFonts w:ascii="Calibri" w:eastAsia="Arial Unicode MS" w:hAnsi="Calibri"/>
              </w:rPr>
              <w:t xml:space="preserve">rovides practical information on identifying, assessing, and using evidence-based interventions with individuals with </w:t>
            </w:r>
            <w:r w:rsidRPr="005772FE">
              <w:rPr>
                <w:rFonts w:ascii="Calibri" w:eastAsia="Arial Unicode MS" w:hAnsi="Calibri"/>
              </w:rPr>
              <w:t>reading difficulties.</w:t>
            </w:r>
          </w:p>
          <w:p w14:paraId="3EA36FD7" w14:textId="77777777" w:rsidR="000461F9" w:rsidRPr="000D543F" w:rsidRDefault="000461F9" w:rsidP="006439CE">
            <w:pPr>
              <w:spacing w:before="40"/>
              <w:rPr>
                <w:rFonts w:ascii="Calibri" w:eastAsia="Arial Unicode MS" w:hAnsi="Calibri"/>
                <w:i/>
                <w:iCs/>
              </w:rPr>
            </w:pPr>
          </w:p>
        </w:tc>
      </w:tr>
      <w:tr w:rsidR="000D543F" w:rsidRPr="00506D00" w14:paraId="265BB0EC" w14:textId="77777777" w:rsidTr="00A46B5C">
        <w:tc>
          <w:tcPr>
            <w:tcW w:w="1615" w:type="dxa"/>
          </w:tcPr>
          <w:p w14:paraId="64B5AD4C" w14:textId="77777777" w:rsidR="000D543F" w:rsidRPr="00506D00" w:rsidRDefault="000D543F" w:rsidP="00A46B5C">
            <w:pPr>
              <w:spacing w:before="40"/>
              <w:rPr>
                <w:rFonts w:ascii="Calibri" w:eastAsia="Arial Unicode MS" w:hAnsi="Calibri"/>
              </w:rPr>
            </w:pPr>
            <w:r>
              <w:rPr>
                <w:rFonts w:ascii="Calibri" w:hAnsi="Calibri"/>
              </w:rPr>
              <w:t>Reading a</w:t>
            </w:r>
            <w:r>
              <w:rPr>
                <w:rFonts w:ascii="Calibri" w:eastAsia="Arial Unicode MS" w:hAnsi="Calibri"/>
              </w:rPr>
              <w:t>ssessment methods</w:t>
            </w:r>
          </w:p>
        </w:tc>
        <w:tc>
          <w:tcPr>
            <w:tcW w:w="5850" w:type="dxa"/>
          </w:tcPr>
          <w:p w14:paraId="28C61EB1" w14:textId="77777777" w:rsidR="000D543F" w:rsidRPr="00506D00" w:rsidRDefault="000D543F" w:rsidP="00A46B5C">
            <w:pPr>
              <w:spacing w:before="40"/>
              <w:rPr>
                <w:rFonts w:ascii="Calibri" w:eastAsia="Arial Unicode MS" w:hAnsi="Calibri"/>
              </w:rPr>
            </w:pPr>
            <w:r w:rsidRPr="00506D00">
              <w:rPr>
                <w:rFonts w:ascii="Calibri" w:eastAsia="Arial Unicode MS" w:hAnsi="Calibri"/>
              </w:rPr>
              <w:t xml:space="preserve">Diamond, L., &amp; </w:t>
            </w:r>
            <w:proofErr w:type="spellStart"/>
            <w:r w:rsidRPr="00506D00">
              <w:rPr>
                <w:rFonts w:ascii="Calibri" w:eastAsia="Arial Unicode MS" w:hAnsi="Calibri"/>
              </w:rPr>
              <w:t>Thorsnes</w:t>
            </w:r>
            <w:proofErr w:type="spellEnd"/>
            <w:r w:rsidRPr="00506D00">
              <w:rPr>
                <w:rFonts w:ascii="Calibri" w:eastAsia="Arial Unicode MS" w:hAnsi="Calibri"/>
              </w:rPr>
              <w:t xml:space="preserve">, B. J. (2018). </w:t>
            </w:r>
            <w:r w:rsidRPr="00506D00">
              <w:rPr>
                <w:rFonts w:ascii="Calibri" w:eastAsia="Arial Unicode MS" w:hAnsi="Calibri"/>
                <w:i/>
                <w:iCs/>
              </w:rPr>
              <w:t>CORE: Assessing Reading Multiple Measures</w:t>
            </w:r>
            <w:r w:rsidRPr="00506D00">
              <w:rPr>
                <w:rFonts w:ascii="Calibri" w:eastAsia="Arial Unicode MS" w:hAnsi="Calibri"/>
              </w:rPr>
              <w:t xml:space="preserve"> (Revised 2</w:t>
            </w:r>
            <w:r w:rsidRPr="00506D00">
              <w:rPr>
                <w:rFonts w:ascii="Calibri" w:eastAsia="Arial Unicode MS" w:hAnsi="Calibri"/>
                <w:vertAlign w:val="superscript"/>
              </w:rPr>
              <w:t>nd</w:t>
            </w:r>
            <w:r w:rsidRPr="00506D00">
              <w:rPr>
                <w:rFonts w:ascii="Calibri" w:eastAsia="Arial Unicode MS" w:hAnsi="Calibri"/>
              </w:rPr>
              <w:t xml:space="preserve"> ed.). Novato, CA: Arena.</w:t>
            </w:r>
          </w:p>
        </w:tc>
        <w:tc>
          <w:tcPr>
            <w:tcW w:w="1800" w:type="dxa"/>
          </w:tcPr>
          <w:p w14:paraId="53943D39" w14:textId="77777777" w:rsidR="000D543F" w:rsidRDefault="000D543F" w:rsidP="00A46B5C">
            <w:pPr>
              <w:spacing w:before="40"/>
              <w:rPr>
                <w:rFonts w:ascii="Calibri" w:eastAsia="Arial Unicode MS" w:hAnsi="Calibri"/>
              </w:rPr>
            </w:pPr>
            <w:r>
              <w:rPr>
                <w:rFonts w:ascii="Calibri" w:eastAsia="Arial Unicode MS" w:hAnsi="Calibri"/>
              </w:rPr>
              <w:t>Undergraduate</w:t>
            </w:r>
          </w:p>
          <w:p w14:paraId="78FD9423" w14:textId="77777777" w:rsidR="000D543F" w:rsidRDefault="000D543F" w:rsidP="00A46B5C">
            <w:pPr>
              <w:spacing w:before="40"/>
              <w:rPr>
                <w:rFonts w:ascii="Calibri" w:eastAsia="Arial Unicode MS" w:hAnsi="Calibri"/>
              </w:rPr>
            </w:pPr>
            <w:r>
              <w:rPr>
                <w:rFonts w:ascii="Calibri" w:eastAsia="Arial Unicode MS" w:hAnsi="Calibri"/>
              </w:rPr>
              <w:t>Graduate</w:t>
            </w:r>
          </w:p>
          <w:p w14:paraId="3328FA27" w14:textId="77777777" w:rsidR="000D543F" w:rsidRPr="00506D00" w:rsidRDefault="000D543F" w:rsidP="00A46B5C">
            <w:pPr>
              <w:spacing w:before="40"/>
              <w:rPr>
                <w:rFonts w:ascii="Calibri" w:eastAsia="Arial Unicode MS" w:hAnsi="Calibri"/>
              </w:rPr>
            </w:pPr>
          </w:p>
        </w:tc>
        <w:tc>
          <w:tcPr>
            <w:tcW w:w="8707" w:type="dxa"/>
          </w:tcPr>
          <w:p w14:paraId="46117253" w14:textId="1DD236BC" w:rsidR="000D543F" w:rsidRPr="005772FE" w:rsidRDefault="005772FE" w:rsidP="005772FE">
            <w:pPr>
              <w:rPr>
                <w:rFonts w:ascii="Calibri" w:eastAsia="Arial Unicode MS" w:hAnsi="Calibri"/>
              </w:rPr>
            </w:pPr>
            <w:r>
              <w:rPr>
                <w:rFonts w:ascii="Calibri" w:eastAsia="Arial Unicode MS" w:hAnsi="Calibri"/>
              </w:rPr>
              <w:t xml:space="preserve">Provides a </w:t>
            </w:r>
            <w:r w:rsidRPr="005772FE">
              <w:rPr>
                <w:rFonts w:ascii="Calibri" w:eastAsia="Arial Unicode MS" w:hAnsi="Calibri"/>
              </w:rPr>
              <w:t>collection of instruments for the comprehensive assessment of reading skills, along with detailed directions for</w:t>
            </w:r>
            <w:r>
              <w:rPr>
                <w:rFonts w:ascii="Calibri" w:eastAsia="Arial Unicode MS" w:hAnsi="Calibri"/>
              </w:rPr>
              <w:t xml:space="preserve"> test</w:t>
            </w:r>
            <w:r w:rsidRPr="005772FE">
              <w:rPr>
                <w:rFonts w:ascii="Calibri" w:eastAsia="Arial Unicode MS" w:hAnsi="Calibri"/>
              </w:rPr>
              <w:t xml:space="preserve"> administration and interpretation of </w:t>
            </w:r>
            <w:r>
              <w:rPr>
                <w:rFonts w:ascii="Calibri" w:eastAsia="Arial Unicode MS" w:hAnsi="Calibri"/>
              </w:rPr>
              <w:t xml:space="preserve">assessment </w:t>
            </w:r>
            <w:r w:rsidRPr="005772FE">
              <w:rPr>
                <w:rFonts w:ascii="Calibri" w:eastAsia="Arial Unicode MS" w:hAnsi="Calibri"/>
              </w:rPr>
              <w:t>data.</w:t>
            </w:r>
          </w:p>
        </w:tc>
      </w:tr>
      <w:tr w:rsidR="008700BE" w:rsidRPr="00506D00" w14:paraId="0C83C528" w14:textId="4B229BE8" w:rsidTr="0051259C">
        <w:tc>
          <w:tcPr>
            <w:tcW w:w="1615" w:type="dxa"/>
          </w:tcPr>
          <w:p w14:paraId="573BA0F8" w14:textId="38854A38" w:rsidR="008700BE" w:rsidRPr="00506D00" w:rsidRDefault="008700BE" w:rsidP="008700BE">
            <w:pPr>
              <w:spacing w:before="40"/>
              <w:rPr>
                <w:rFonts w:ascii="Calibri" w:hAnsi="Calibri"/>
              </w:rPr>
            </w:pPr>
            <w:r>
              <w:rPr>
                <w:rFonts w:ascii="Calibri" w:hAnsi="Calibri"/>
              </w:rPr>
              <w:t>Reading intervention</w:t>
            </w:r>
            <w:r w:rsidR="000461F9">
              <w:rPr>
                <w:rFonts w:ascii="Calibri" w:hAnsi="Calibri"/>
              </w:rPr>
              <w:t xml:space="preserve"> </w:t>
            </w:r>
            <w:r w:rsidR="000461F9">
              <w:rPr>
                <w:rFonts w:ascii="Calibri" w:eastAsia="Arial Unicode MS" w:hAnsi="Calibri"/>
              </w:rPr>
              <w:t>methods</w:t>
            </w:r>
          </w:p>
        </w:tc>
        <w:tc>
          <w:tcPr>
            <w:tcW w:w="5850" w:type="dxa"/>
          </w:tcPr>
          <w:p w14:paraId="02583206" w14:textId="207F85C5" w:rsidR="008700BE" w:rsidRPr="00506D00" w:rsidRDefault="008700BE" w:rsidP="008700BE">
            <w:pPr>
              <w:spacing w:before="40"/>
              <w:rPr>
                <w:rFonts w:ascii="Calibri" w:hAnsi="Calibri"/>
              </w:rPr>
            </w:pPr>
            <w:proofErr w:type="spellStart"/>
            <w:r w:rsidRPr="00506D00">
              <w:rPr>
                <w:rFonts w:ascii="Calibri" w:hAnsi="Calibri"/>
              </w:rPr>
              <w:t>Birsh</w:t>
            </w:r>
            <w:proofErr w:type="spellEnd"/>
            <w:r w:rsidRPr="00506D00">
              <w:rPr>
                <w:rFonts w:ascii="Calibri" w:hAnsi="Calibri"/>
              </w:rPr>
              <w:t xml:space="preserve">, J. (2018).  </w:t>
            </w:r>
            <w:r w:rsidRPr="00506D00">
              <w:rPr>
                <w:rFonts w:ascii="Calibri" w:hAnsi="Calibri"/>
                <w:i/>
              </w:rPr>
              <w:t>Multisensory teaching of basic language skills</w:t>
            </w:r>
            <w:r w:rsidRPr="00506D00">
              <w:rPr>
                <w:rFonts w:ascii="Calibri" w:hAnsi="Calibri"/>
              </w:rPr>
              <w:t xml:space="preserve"> (4</w:t>
            </w:r>
            <w:r w:rsidRPr="00506D00">
              <w:rPr>
                <w:rFonts w:ascii="Calibri" w:hAnsi="Calibri"/>
                <w:vertAlign w:val="superscript"/>
              </w:rPr>
              <w:t>th</w:t>
            </w:r>
            <w:r w:rsidRPr="00506D00">
              <w:rPr>
                <w:rFonts w:ascii="Calibri" w:hAnsi="Calibri"/>
              </w:rPr>
              <w:t xml:space="preserve"> ed.).  Baltimore, MD: Brookes.</w:t>
            </w:r>
          </w:p>
        </w:tc>
        <w:tc>
          <w:tcPr>
            <w:tcW w:w="1800" w:type="dxa"/>
          </w:tcPr>
          <w:p w14:paraId="3BBA1766" w14:textId="41A7BCFC" w:rsidR="008700BE" w:rsidRPr="00506D00" w:rsidRDefault="008700BE" w:rsidP="008700BE">
            <w:pPr>
              <w:spacing w:before="40"/>
              <w:rPr>
                <w:rFonts w:ascii="Calibri" w:hAnsi="Calibri"/>
              </w:rPr>
            </w:pPr>
            <w:r w:rsidRPr="00D04B24">
              <w:rPr>
                <w:rFonts w:ascii="Calibri" w:eastAsia="Arial Unicode MS" w:hAnsi="Calibri"/>
              </w:rPr>
              <w:t>Graduate</w:t>
            </w:r>
          </w:p>
        </w:tc>
        <w:tc>
          <w:tcPr>
            <w:tcW w:w="8707" w:type="dxa"/>
          </w:tcPr>
          <w:p w14:paraId="09C3F584" w14:textId="46F5B4D0" w:rsidR="008700BE" w:rsidRPr="005772FE" w:rsidRDefault="005772FE" w:rsidP="008700BE">
            <w:pPr>
              <w:spacing w:before="40"/>
              <w:rPr>
                <w:rFonts w:ascii="Calibri" w:eastAsia="Arial Unicode MS" w:hAnsi="Calibri"/>
              </w:rPr>
            </w:pPr>
            <w:r>
              <w:rPr>
                <w:rFonts w:ascii="Calibri" w:eastAsia="Arial Unicode MS" w:hAnsi="Calibri"/>
              </w:rPr>
              <w:t>Provides a comprehensive overview of structured literacy and methods of intervention for students with dyslexia in each area of reading</w:t>
            </w:r>
            <w:r w:rsidR="002618A9">
              <w:rPr>
                <w:rFonts w:ascii="Calibri" w:eastAsia="Arial Unicode MS" w:hAnsi="Calibri"/>
              </w:rPr>
              <w:t xml:space="preserve"> (e.g., phonemic awareness, decoding, comprehension), as well as other subject areas (e.g., math)</w:t>
            </w:r>
            <w:r>
              <w:rPr>
                <w:rFonts w:ascii="Calibri" w:eastAsia="Arial Unicode MS" w:hAnsi="Calibri"/>
              </w:rPr>
              <w:t>.</w:t>
            </w:r>
          </w:p>
        </w:tc>
      </w:tr>
      <w:tr w:rsidR="008700BE" w:rsidRPr="00506D00" w14:paraId="6AB85897" w14:textId="43F15892" w:rsidTr="0051259C">
        <w:tc>
          <w:tcPr>
            <w:tcW w:w="1615" w:type="dxa"/>
          </w:tcPr>
          <w:p w14:paraId="7639AC60" w14:textId="3522F0DF" w:rsidR="008700BE" w:rsidRPr="00506D00" w:rsidRDefault="000461F9" w:rsidP="008700BE">
            <w:pPr>
              <w:spacing w:before="40"/>
              <w:rPr>
                <w:rFonts w:ascii="Calibri" w:hAnsi="Calibri"/>
              </w:rPr>
            </w:pPr>
            <w:r>
              <w:rPr>
                <w:rFonts w:ascii="Calibri" w:hAnsi="Calibri"/>
              </w:rPr>
              <w:t xml:space="preserve">Reading intervention </w:t>
            </w:r>
            <w:r>
              <w:rPr>
                <w:rFonts w:ascii="Calibri" w:eastAsia="Arial Unicode MS" w:hAnsi="Calibri"/>
              </w:rPr>
              <w:t>methods</w:t>
            </w:r>
          </w:p>
        </w:tc>
        <w:tc>
          <w:tcPr>
            <w:tcW w:w="5850" w:type="dxa"/>
          </w:tcPr>
          <w:p w14:paraId="3C53823E" w14:textId="6853E9B5" w:rsidR="008700BE" w:rsidRPr="00506D00" w:rsidRDefault="008700BE" w:rsidP="008700BE">
            <w:pPr>
              <w:spacing w:before="40"/>
              <w:rPr>
                <w:rFonts w:ascii="Calibri" w:hAnsi="Calibri"/>
              </w:rPr>
            </w:pPr>
            <w:r w:rsidRPr="00506D00">
              <w:rPr>
                <w:rFonts w:ascii="Calibri" w:hAnsi="Calibri"/>
              </w:rPr>
              <w:t xml:space="preserve">Henry, M. K. (2010). </w:t>
            </w:r>
            <w:r w:rsidRPr="00506D00">
              <w:rPr>
                <w:rFonts w:ascii="Calibri" w:hAnsi="Calibri"/>
                <w:i/>
              </w:rPr>
              <w:t>Unlocking literacy: Effective decoding and spelling instruction</w:t>
            </w:r>
            <w:r w:rsidRPr="00506D00">
              <w:rPr>
                <w:rFonts w:ascii="Calibri" w:hAnsi="Calibri"/>
              </w:rPr>
              <w:t xml:space="preserve"> (2</w:t>
            </w:r>
            <w:r w:rsidRPr="00506D00">
              <w:rPr>
                <w:rFonts w:ascii="Calibri" w:hAnsi="Calibri"/>
                <w:vertAlign w:val="superscript"/>
              </w:rPr>
              <w:t>nd</w:t>
            </w:r>
            <w:r w:rsidRPr="00506D00">
              <w:rPr>
                <w:rFonts w:ascii="Calibri" w:hAnsi="Calibri"/>
              </w:rPr>
              <w:t xml:space="preserve"> ed.). Baltimore, MD: Brookes.</w:t>
            </w:r>
          </w:p>
        </w:tc>
        <w:tc>
          <w:tcPr>
            <w:tcW w:w="1800" w:type="dxa"/>
          </w:tcPr>
          <w:p w14:paraId="5C1ECF8C" w14:textId="77777777" w:rsidR="008700BE" w:rsidRDefault="008700BE" w:rsidP="008700BE">
            <w:pPr>
              <w:spacing w:before="40"/>
              <w:rPr>
                <w:rFonts w:ascii="Calibri" w:eastAsia="Arial Unicode MS" w:hAnsi="Calibri"/>
              </w:rPr>
            </w:pPr>
            <w:r>
              <w:rPr>
                <w:rFonts w:ascii="Calibri" w:eastAsia="Arial Unicode MS" w:hAnsi="Calibri"/>
              </w:rPr>
              <w:t>Undergraduate</w:t>
            </w:r>
          </w:p>
          <w:p w14:paraId="250D25D2" w14:textId="77777777" w:rsidR="008700BE" w:rsidRDefault="008700BE" w:rsidP="008700BE">
            <w:pPr>
              <w:spacing w:before="40"/>
              <w:rPr>
                <w:rFonts w:ascii="Calibri" w:eastAsia="Arial Unicode MS" w:hAnsi="Calibri"/>
              </w:rPr>
            </w:pPr>
            <w:r>
              <w:rPr>
                <w:rFonts w:ascii="Calibri" w:eastAsia="Arial Unicode MS" w:hAnsi="Calibri"/>
              </w:rPr>
              <w:t>Graduate</w:t>
            </w:r>
          </w:p>
          <w:p w14:paraId="71C6FF2F" w14:textId="1B1A5440" w:rsidR="008700BE" w:rsidRPr="00506D00" w:rsidRDefault="008700BE" w:rsidP="008700BE">
            <w:pPr>
              <w:spacing w:before="40"/>
              <w:rPr>
                <w:rFonts w:ascii="Calibri" w:hAnsi="Calibri"/>
              </w:rPr>
            </w:pPr>
          </w:p>
        </w:tc>
        <w:tc>
          <w:tcPr>
            <w:tcW w:w="8707" w:type="dxa"/>
          </w:tcPr>
          <w:p w14:paraId="1CDFB9B3" w14:textId="2763AD65" w:rsidR="008700BE" w:rsidRPr="005772FE" w:rsidRDefault="002618A9" w:rsidP="008700BE">
            <w:pPr>
              <w:spacing w:before="40"/>
              <w:rPr>
                <w:rFonts w:ascii="Calibri" w:eastAsia="Arial Unicode MS" w:hAnsi="Calibri"/>
              </w:rPr>
            </w:pPr>
            <w:r>
              <w:rPr>
                <w:rFonts w:ascii="Calibri" w:eastAsia="Arial Unicode MS" w:hAnsi="Calibri"/>
              </w:rPr>
              <w:t>Provides a deep dive into instruction in word-level skills, including phonemic awareness, decoding, encoding, and morphology.  Includes practical activities and resources for teachers.</w:t>
            </w:r>
          </w:p>
        </w:tc>
      </w:tr>
    </w:tbl>
    <w:p w14:paraId="04CF622F" w14:textId="77777777" w:rsidR="002618A9" w:rsidRPr="00127B0B" w:rsidRDefault="002618A9">
      <w:pPr>
        <w:rPr>
          <w:sz w:val="4"/>
          <w:szCs w:val="4"/>
        </w:rPr>
      </w:pPr>
    </w:p>
    <w:sectPr w:rsidR="002618A9" w:rsidRPr="00127B0B" w:rsidSect="00127B0B">
      <w:pgSz w:w="20160" w:h="12240" w:orient="landscape"/>
      <w:pgMar w:top="558" w:right="864" w:bottom="423"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D00"/>
    <w:rsid w:val="000461F9"/>
    <w:rsid w:val="000D543F"/>
    <w:rsid w:val="00127B0B"/>
    <w:rsid w:val="002618A9"/>
    <w:rsid w:val="00326AFF"/>
    <w:rsid w:val="0045709A"/>
    <w:rsid w:val="00506D00"/>
    <w:rsid w:val="0051259C"/>
    <w:rsid w:val="005772FE"/>
    <w:rsid w:val="008700BE"/>
    <w:rsid w:val="00CE5020"/>
    <w:rsid w:val="00FB02BB"/>
    <w:rsid w:val="00FD1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EDD44D"/>
  <w15:chartTrackingRefBased/>
  <w15:docId w15:val="{C93D7312-EE88-9543-A298-528262F3A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2F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6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253">
      <w:bodyDiv w:val="1"/>
      <w:marLeft w:val="0"/>
      <w:marRight w:val="0"/>
      <w:marTop w:val="0"/>
      <w:marBottom w:val="0"/>
      <w:divBdr>
        <w:top w:val="none" w:sz="0" w:space="0" w:color="auto"/>
        <w:left w:val="none" w:sz="0" w:space="0" w:color="auto"/>
        <w:bottom w:val="none" w:sz="0" w:space="0" w:color="auto"/>
        <w:right w:val="none" w:sz="0" w:space="0" w:color="auto"/>
      </w:divBdr>
    </w:div>
    <w:div w:id="851988969">
      <w:bodyDiv w:val="1"/>
      <w:marLeft w:val="0"/>
      <w:marRight w:val="0"/>
      <w:marTop w:val="0"/>
      <w:marBottom w:val="0"/>
      <w:divBdr>
        <w:top w:val="none" w:sz="0" w:space="0" w:color="auto"/>
        <w:left w:val="none" w:sz="0" w:space="0" w:color="auto"/>
        <w:bottom w:val="none" w:sz="0" w:space="0" w:color="auto"/>
        <w:right w:val="none" w:sz="0" w:space="0" w:color="auto"/>
      </w:divBdr>
    </w:div>
    <w:div w:id="1354530389">
      <w:bodyDiv w:val="1"/>
      <w:marLeft w:val="0"/>
      <w:marRight w:val="0"/>
      <w:marTop w:val="0"/>
      <w:marBottom w:val="0"/>
      <w:divBdr>
        <w:top w:val="none" w:sz="0" w:space="0" w:color="auto"/>
        <w:left w:val="none" w:sz="0" w:space="0" w:color="auto"/>
        <w:bottom w:val="none" w:sz="0" w:space="0" w:color="auto"/>
        <w:right w:val="none" w:sz="0" w:space="0" w:color="auto"/>
      </w:divBdr>
    </w:div>
    <w:div w:id="1481187795">
      <w:bodyDiv w:val="1"/>
      <w:marLeft w:val="0"/>
      <w:marRight w:val="0"/>
      <w:marTop w:val="0"/>
      <w:marBottom w:val="0"/>
      <w:divBdr>
        <w:top w:val="none" w:sz="0" w:space="0" w:color="auto"/>
        <w:left w:val="none" w:sz="0" w:space="0" w:color="auto"/>
        <w:bottom w:val="none" w:sz="0" w:space="0" w:color="auto"/>
        <w:right w:val="none" w:sz="0" w:space="0" w:color="auto"/>
      </w:divBdr>
    </w:div>
    <w:div w:id="1754886993">
      <w:bodyDiv w:val="1"/>
      <w:marLeft w:val="0"/>
      <w:marRight w:val="0"/>
      <w:marTop w:val="0"/>
      <w:marBottom w:val="0"/>
      <w:divBdr>
        <w:top w:val="none" w:sz="0" w:space="0" w:color="auto"/>
        <w:left w:val="none" w:sz="0" w:space="0" w:color="auto"/>
        <w:bottom w:val="none" w:sz="0" w:space="0" w:color="auto"/>
        <w:right w:val="none" w:sz="0" w:space="0" w:color="auto"/>
      </w:divBdr>
      <w:divsChild>
        <w:div w:id="1966160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Lane</dc:creator>
  <cp:keywords/>
  <dc:description/>
  <cp:lastModifiedBy>Holly Lane</cp:lastModifiedBy>
  <cp:revision>2</cp:revision>
  <dcterms:created xsi:type="dcterms:W3CDTF">2021-12-01T12:13:00Z</dcterms:created>
  <dcterms:modified xsi:type="dcterms:W3CDTF">2022-03-27T13:47:00Z</dcterms:modified>
</cp:coreProperties>
</file>