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24FA" w14:textId="294D9496" w:rsidR="00761EE5" w:rsidRDefault="17081DDC" w:rsidP="00F711F7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2150">
        <w:rPr>
          <w:rFonts w:asciiTheme="minorHAnsi" w:hAnsiTheme="minorHAnsi" w:cstheme="minorHAnsi"/>
          <w:b/>
          <w:bCs/>
          <w:sz w:val="24"/>
          <w:szCs w:val="24"/>
        </w:rPr>
        <w:t>CRE PART 2: Activity Handouts</w:t>
      </w:r>
    </w:p>
    <w:p w14:paraId="204A0381" w14:textId="77777777" w:rsidR="00F711F7" w:rsidRPr="00F711F7" w:rsidRDefault="00F711F7" w:rsidP="00F711F7">
      <w:pPr>
        <w:spacing w:after="0" w:line="240" w:lineRule="auto"/>
      </w:pPr>
    </w:p>
    <w:p w14:paraId="19E3D656" w14:textId="326AD0B6" w:rsidR="17081DDC" w:rsidRDefault="17081DDC" w:rsidP="00F711F7">
      <w:pPr>
        <w:spacing w:after="0" w:line="240" w:lineRule="auto"/>
        <w:rPr>
          <w:rFonts w:cstheme="minorHAnsi"/>
          <w:b/>
          <w:bCs/>
          <w:color w:val="1861AE"/>
          <w:sz w:val="24"/>
          <w:szCs w:val="24"/>
        </w:rPr>
      </w:pPr>
      <w:r w:rsidRPr="00F711F7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4"/>
        </w:rPr>
        <w:t>Pre-</w:t>
      </w:r>
      <w:r w:rsidR="00F711F7" w:rsidRPr="00F711F7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F711F7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4"/>
        </w:rPr>
        <w:t>ork</w:t>
      </w:r>
      <w:r w:rsidRPr="00F711F7">
        <w:rPr>
          <w:rFonts w:cstheme="minorHAnsi"/>
          <w:b/>
          <w:color w:val="000000" w:themeColor="text1"/>
          <w:sz w:val="24"/>
          <w:szCs w:val="24"/>
        </w:rPr>
        <w:t>:</w:t>
      </w:r>
      <w:r w:rsidRPr="00F711F7">
        <w:rPr>
          <w:rFonts w:cstheme="minorHAnsi"/>
          <w:color w:val="000000" w:themeColor="text1"/>
          <w:sz w:val="24"/>
          <w:szCs w:val="24"/>
        </w:rPr>
        <w:t xml:space="preserve"> </w:t>
      </w:r>
      <w:r w:rsidRPr="009F2150">
        <w:rPr>
          <w:rFonts w:cstheme="minorHAnsi"/>
          <w:sz w:val="24"/>
          <w:szCs w:val="24"/>
        </w:rPr>
        <w:t xml:space="preserve">Read the State Policy and Practice Portrait </w:t>
      </w:r>
      <w:hyperlink r:id="rId6">
        <w:r w:rsidRPr="009F2150">
          <w:rPr>
            <w:rStyle w:val="Hyperlink"/>
            <w:rFonts w:cstheme="minorHAnsi"/>
            <w:b/>
            <w:bCs/>
            <w:color w:val="1861AE"/>
            <w:sz w:val="24"/>
            <w:szCs w:val="24"/>
            <w:u w:val="none"/>
          </w:rPr>
          <w:t>Culturally and Linguistically Diverse (CLD) Students: What Educator Preparation Programs Need to Do to Support Teacher Learning</w:t>
        </w:r>
      </w:hyperlink>
      <w:r w:rsidRPr="009F2150">
        <w:rPr>
          <w:rFonts w:cstheme="minorHAnsi"/>
          <w:bCs/>
          <w:color w:val="000000" w:themeColor="text1"/>
          <w:sz w:val="24"/>
          <w:szCs w:val="24"/>
        </w:rPr>
        <w:t>.</w:t>
      </w:r>
      <w:r w:rsidRPr="009F2150">
        <w:rPr>
          <w:rFonts w:cstheme="minorHAnsi"/>
          <w:b/>
          <w:bCs/>
          <w:color w:val="1861AE"/>
          <w:sz w:val="24"/>
          <w:szCs w:val="24"/>
        </w:rPr>
        <w:t xml:space="preserve"> </w:t>
      </w:r>
      <w:r w:rsidRPr="009F2150">
        <w:rPr>
          <w:rFonts w:cstheme="minorHAnsi"/>
          <w:sz w:val="24"/>
          <w:szCs w:val="24"/>
        </w:rPr>
        <w:t>Reflect on how your educator preparation program is preparing educators to meet the needs of diverse learners.</w:t>
      </w:r>
      <w:r w:rsidRPr="009F2150">
        <w:rPr>
          <w:rFonts w:cstheme="minorHAnsi"/>
          <w:b/>
          <w:bCs/>
          <w:color w:val="1861AE"/>
          <w:sz w:val="24"/>
          <w:szCs w:val="24"/>
        </w:rPr>
        <w:t xml:space="preserve"> </w:t>
      </w:r>
    </w:p>
    <w:p w14:paraId="46D5B1AE" w14:textId="77777777" w:rsidR="00F711F7" w:rsidRPr="00F711F7" w:rsidRDefault="00F711F7" w:rsidP="00F711F7">
      <w:pPr>
        <w:spacing w:after="0" w:line="240" w:lineRule="auto"/>
        <w:rPr>
          <w:rFonts w:cstheme="minorHAnsi"/>
          <w:b/>
          <w:bCs/>
          <w:color w:val="1861AE"/>
          <w:sz w:val="24"/>
          <w:szCs w:val="24"/>
        </w:rPr>
      </w:pPr>
    </w:p>
    <w:p w14:paraId="5F1B78D0" w14:textId="1D89251E" w:rsidR="00E26A03" w:rsidRPr="009F2150" w:rsidRDefault="000C169B" w:rsidP="00F711F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Activity 1:</w:t>
      </w:r>
      <w:r w:rsidRPr="00F711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F2150">
        <w:rPr>
          <w:rFonts w:asciiTheme="minorHAnsi" w:hAnsiTheme="minorHAnsi" w:cstheme="minorHAnsi"/>
          <w:color w:val="auto"/>
          <w:sz w:val="24"/>
          <w:szCs w:val="24"/>
        </w:rPr>
        <w:t>Reflect on your own K</w:t>
      </w:r>
      <w:r w:rsidR="009F21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9F2150">
        <w:rPr>
          <w:rFonts w:asciiTheme="minorHAnsi" w:hAnsiTheme="minorHAnsi" w:cstheme="minorHAnsi"/>
          <w:color w:val="auto"/>
          <w:sz w:val="24"/>
          <w:szCs w:val="24"/>
        </w:rPr>
        <w:t>12 learning experience. Did you have experiences with teachers from cultures other than your own?</w:t>
      </w:r>
      <w:r w:rsidR="001D1317"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 Consider </w:t>
      </w:r>
      <w:r w:rsidR="009F5B4D" w:rsidRPr="009F2150">
        <w:rPr>
          <w:rFonts w:asciiTheme="minorHAnsi" w:hAnsiTheme="minorHAnsi" w:cstheme="minorHAnsi"/>
          <w:color w:val="auto"/>
          <w:sz w:val="24"/>
          <w:szCs w:val="24"/>
        </w:rPr>
        <w:t>how your experience</w:t>
      </w:r>
      <w:r w:rsidR="00E26A03"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 has</w:t>
      </w:r>
      <w:r w:rsidR="009F5B4D"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26A03" w:rsidRPr="009F2150">
        <w:rPr>
          <w:rFonts w:asciiTheme="minorHAnsi" w:hAnsiTheme="minorHAnsi" w:cstheme="minorHAnsi"/>
          <w:color w:val="auto"/>
          <w:sz w:val="24"/>
          <w:szCs w:val="24"/>
        </w:rPr>
        <w:t>shaped your perspective and may impact your interactions with culturally and linguistically diverse students.</w:t>
      </w:r>
    </w:p>
    <w:p w14:paraId="3BF6B647" w14:textId="77777777" w:rsidR="000C169B" w:rsidRPr="009F2150" w:rsidRDefault="000C169B" w:rsidP="00F711F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F2150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0154D" w14:textId="77777777" w:rsidR="00F711F7" w:rsidRDefault="00F711F7" w:rsidP="00F711F7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02BB9F28" w14:textId="14920C05" w:rsidR="00731BCF" w:rsidRPr="009F2150" w:rsidRDefault="00FB7B11" w:rsidP="00F711F7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Activity 2</w:t>
      </w:r>
      <w:r w:rsidR="002677D4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CRE and HLP </w:t>
      </w:r>
      <w:r w:rsidR="00731BCF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Crosswalk</w:t>
      </w:r>
    </w:p>
    <w:p w14:paraId="72D58171" w14:textId="7BF3BFCA" w:rsidR="002677D4" w:rsidRPr="009F2150" w:rsidRDefault="17081DDC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Compare and contrast High</w:t>
      </w:r>
      <w:r w:rsidR="00F711F7">
        <w:rPr>
          <w:rFonts w:cstheme="minorHAnsi"/>
          <w:sz w:val="24"/>
          <w:szCs w:val="24"/>
        </w:rPr>
        <w:t>-</w:t>
      </w:r>
      <w:r w:rsidRPr="009F2150">
        <w:rPr>
          <w:rFonts w:cstheme="minorHAnsi"/>
          <w:sz w:val="24"/>
          <w:szCs w:val="24"/>
        </w:rPr>
        <w:t>Leverage Practices from Teaching Works, High</w:t>
      </w:r>
      <w:r w:rsidR="00F711F7">
        <w:rPr>
          <w:rFonts w:cstheme="minorHAnsi"/>
          <w:sz w:val="24"/>
          <w:szCs w:val="24"/>
        </w:rPr>
        <w:t>-</w:t>
      </w:r>
      <w:r w:rsidRPr="009F2150">
        <w:rPr>
          <w:rFonts w:cstheme="minorHAnsi"/>
          <w:sz w:val="24"/>
          <w:szCs w:val="24"/>
        </w:rPr>
        <w:t>Leverage Practices from CEC/CEEDAR</w:t>
      </w:r>
      <w:r w:rsidR="009F2150">
        <w:rPr>
          <w:rFonts w:cstheme="minorHAnsi"/>
          <w:sz w:val="24"/>
          <w:szCs w:val="24"/>
        </w:rPr>
        <w:t xml:space="preserve">, </w:t>
      </w:r>
      <w:r w:rsidRPr="009F2150">
        <w:rPr>
          <w:rFonts w:cstheme="minorHAnsi"/>
          <w:sz w:val="24"/>
          <w:szCs w:val="24"/>
        </w:rPr>
        <w:t>and culturally responsive education practices. What similarities do you notice?</w:t>
      </w:r>
    </w:p>
    <w:p w14:paraId="03D3C9F0" w14:textId="77777777" w:rsidR="002677D4" w:rsidRPr="009F2150" w:rsidRDefault="002677D4" w:rsidP="00F711F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193"/>
        <w:gridCol w:w="3198"/>
        <w:gridCol w:w="3043"/>
      </w:tblGrid>
      <w:tr w:rsidR="002677D4" w:rsidRPr="009F2150" w14:paraId="62686084" w14:textId="77777777" w:rsidTr="000C169B">
        <w:trPr>
          <w:trHeight w:val="258"/>
        </w:trPr>
        <w:tc>
          <w:tcPr>
            <w:tcW w:w="3193" w:type="dxa"/>
            <w:shd w:val="clear" w:color="auto" w:fill="D9E2F3" w:themeFill="accent1" w:themeFillTint="33"/>
          </w:tcPr>
          <w:p w14:paraId="6EF6A65F" w14:textId="5FD78667" w:rsidR="002677D4" w:rsidRPr="009F2150" w:rsidRDefault="00CE4911" w:rsidP="00F711F7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High</w:t>
              </w:r>
              <w:r w:rsidR="00F711F7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-</w:t>
              </w:r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Leverage Practices</w:t>
              </w:r>
              <w:r w:rsidR="00F711F7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 xml:space="preserve"> —</w:t>
              </w:r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 xml:space="preserve"> TeachingWorks</w:t>
              </w:r>
            </w:hyperlink>
          </w:p>
        </w:tc>
        <w:tc>
          <w:tcPr>
            <w:tcW w:w="3198" w:type="dxa"/>
            <w:shd w:val="clear" w:color="auto" w:fill="D9E2F3" w:themeFill="accent1" w:themeFillTint="33"/>
          </w:tcPr>
          <w:p w14:paraId="07596E78" w14:textId="584B0DBE" w:rsidR="002677D4" w:rsidRPr="009F2150" w:rsidRDefault="00CE4911" w:rsidP="00F711F7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High</w:t>
              </w:r>
              <w:r w:rsidR="00F711F7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-</w:t>
              </w:r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 xml:space="preserve">Leverage Practices </w:t>
              </w:r>
              <w:r w:rsidR="00F711F7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—</w:t>
              </w:r>
              <w:r w:rsidR="00731BCF" w:rsidRPr="009F2150">
                <w:rPr>
                  <w:rStyle w:val="Hyperlink"/>
                  <w:rFonts w:cstheme="minorHAnsi"/>
                  <w:b/>
                  <w:sz w:val="24"/>
                  <w:szCs w:val="24"/>
                  <w:u w:val="none"/>
                </w:rPr>
                <w:t>CEC/CEEDAR</w:t>
              </w:r>
            </w:hyperlink>
          </w:p>
        </w:tc>
        <w:tc>
          <w:tcPr>
            <w:tcW w:w="3043" w:type="dxa"/>
            <w:shd w:val="clear" w:color="auto" w:fill="D9E2F3" w:themeFill="accent1" w:themeFillTint="33"/>
          </w:tcPr>
          <w:p w14:paraId="0CEFB110" w14:textId="77777777" w:rsidR="002677D4" w:rsidRPr="009F2150" w:rsidRDefault="00731BCF" w:rsidP="00F711F7">
            <w:pPr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Culturally Responsive Education</w:t>
            </w:r>
          </w:p>
        </w:tc>
      </w:tr>
      <w:tr w:rsidR="00731BCF" w:rsidRPr="009F2150" w14:paraId="5896CFB3" w14:textId="77777777" w:rsidTr="00C75AC3">
        <w:trPr>
          <w:trHeight w:val="683"/>
        </w:trPr>
        <w:tc>
          <w:tcPr>
            <w:tcW w:w="3193" w:type="dxa"/>
            <w:hideMark/>
          </w:tcPr>
          <w:p w14:paraId="594BA083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  <w:r w:rsidRPr="009F2150">
              <w:rPr>
                <w:rFonts w:cstheme="minorHAnsi"/>
                <w:bCs/>
                <w:sz w:val="24"/>
                <w:szCs w:val="24"/>
              </w:rPr>
              <w:t>Explaining and modeling content, practices, and strategies</w:t>
            </w:r>
          </w:p>
        </w:tc>
        <w:tc>
          <w:tcPr>
            <w:tcW w:w="3198" w:type="dxa"/>
          </w:tcPr>
          <w:p w14:paraId="4559A565" w14:textId="77777777" w:rsidR="00731BCF" w:rsidRPr="009F2150" w:rsidRDefault="00731BCF" w:rsidP="00F711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1B2AEB6F" w14:textId="77777777" w:rsidR="00731BCF" w:rsidRPr="009F2150" w:rsidRDefault="00731BCF" w:rsidP="00F711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CF" w:rsidRPr="009F2150" w14:paraId="19CA6A88" w14:textId="77777777" w:rsidTr="000C169B">
        <w:trPr>
          <w:trHeight w:val="1151"/>
        </w:trPr>
        <w:tc>
          <w:tcPr>
            <w:tcW w:w="3193" w:type="dxa"/>
            <w:hideMark/>
          </w:tcPr>
          <w:p w14:paraId="2CAADFB8" w14:textId="6E8C6BF8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  <w:r w:rsidRPr="009F2150">
              <w:rPr>
                <w:rFonts w:cstheme="minorHAnsi"/>
                <w:sz w:val="24"/>
                <w:szCs w:val="24"/>
              </w:rPr>
              <w:t>Diagnosing common patterns of student thinking and development in a subject-matter domain</w:t>
            </w:r>
          </w:p>
        </w:tc>
        <w:tc>
          <w:tcPr>
            <w:tcW w:w="3198" w:type="dxa"/>
          </w:tcPr>
          <w:p w14:paraId="32555995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0F5A6467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7D4" w:rsidRPr="009F2150" w14:paraId="25EAB2C6" w14:textId="77777777" w:rsidTr="000C169B">
        <w:trPr>
          <w:trHeight w:val="682"/>
        </w:trPr>
        <w:tc>
          <w:tcPr>
            <w:tcW w:w="3193" w:type="dxa"/>
            <w:hideMark/>
          </w:tcPr>
          <w:p w14:paraId="0565B635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  <w:r w:rsidRPr="009F2150">
              <w:rPr>
                <w:rFonts w:cstheme="minorHAnsi"/>
                <w:sz w:val="24"/>
                <w:szCs w:val="24"/>
              </w:rPr>
              <w:t>Coordinating and adjusting instruction during a lesson</w:t>
            </w:r>
          </w:p>
        </w:tc>
        <w:tc>
          <w:tcPr>
            <w:tcW w:w="3198" w:type="dxa"/>
          </w:tcPr>
          <w:p w14:paraId="2A0BB7B8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E93C49E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BCF" w:rsidRPr="009F2150" w14:paraId="576DA5CD" w14:textId="77777777" w:rsidTr="000C169B">
        <w:trPr>
          <w:trHeight w:val="743"/>
        </w:trPr>
        <w:tc>
          <w:tcPr>
            <w:tcW w:w="3193" w:type="dxa"/>
            <w:hideMark/>
          </w:tcPr>
          <w:p w14:paraId="37D91372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  <w:r w:rsidRPr="009F2150">
              <w:rPr>
                <w:rFonts w:cstheme="minorHAnsi"/>
                <w:sz w:val="24"/>
                <w:szCs w:val="24"/>
              </w:rPr>
              <w:t>Setting up and managing small group work</w:t>
            </w:r>
          </w:p>
        </w:tc>
        <w:tc>
          <w:tcPr>
            <w:tcW w:w="3198" w:type="dxa"/>
          </w:tcPr>
          <w:p w14:paraId="1DCBDB20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0A224E1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7D4" w:rsidRPr="009F2150" w14:paraId="0ED98EA3" w14:textId="77777777" w:rsidTr="000C169B">
        <w:trPr>
          <w:trHeight w:val="956"/>
        </w:trPr>
        <w:tc>
          <w:tcPr>
            <w:tcW w:w="3193" w:type="dxa"/>
            <w:hideMark/>
          </w:tcPr>
          <w:p w14:paraId="247E900D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  <w:r w:rsidRPr="009F2150">
              <w:rPr>
                <w:rFonts w:cstheme="minorHAnsi"/>
                <w:sz w:val="24"/>
                <w:szCs w:val="24"/>
              </w:rPr>
              <w:t>Specifying and reinforcing productive student behavior</w:t>
            </w:r>
          </w:p>
        </w:tc>
        <w:tc>
          <w:tcPr>
            <w:tcW w:w="3198" w:type="dxa"/>
          </w:tcPr>
          <w:p w14:paraId="26690FC0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78E081A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7D4" w:rsidRPr="009F2150" w14:paraId="3FE81A85" w14:textId="77777777" w:rsidTr="000C169B">
        <w:trPr>
          <w:trHeight w:val="244"/>
        </w:trPr>
        <w:tc>
          <w:tcPr>
            <w:tcW w:w="3193" w:type="dxa"/>
          </w:tcPr>
          <w:p w14:paraId="4B41B7BD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  <w:p w14:paraId="3332B42A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  <w:p w14:paraId="3B367551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  <w:p w14:paraId="24E7735F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8" w:type="dxa"/>
          </w:tcPr>
          <w:p w14:paraId="5E41BB8E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AC531B2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  <w:p w14:paraId="1A103DDA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  <w:p w14:paraId="7C2192E8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  <w:p w14:paraId="2F0DCFC2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7D4" w:rsidRPr="009F2150" w14:paraId="173982F9" w14:textId="77777777" w:rsidTr="000C169B">
        <w:trPr>
          <w:trHeight w:val="258"/>
        </w:trPr>
        <w:tc>
          <w:tcPr>
            <w:tcW w:w="3193" w:type="dxa"/>
          </w:tcPr>
          <w:p w14:paraId="464E4060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8" w:type="dxa"/>
          </w:tcPr>
          <w:p w14:paraId="43087778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6DC1335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  <w:p w14:paraId="33D99F36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  <w:p w14:paraId="3EBDB4FB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  <w:p w14:paraId="0ED4DD46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7D4" w:rsidRPr="009F2150" w14:paraId="14AE8123" w14:textId="77777777" w:rsidTr="000C169B">
        <w:trPr>
          <w:trHeight w:val="258"/>
        </w:trPr>
        <w:tc>
          <w:tcPr>
            <w:tcW w:w="3193" w:type="dxa"/>
          </w:tcPr>
          <w:p w14:paraId="14625B4F" w14:textId="77777777" w:rsidR="000C169B" w:rsidRPr="009F2150" w:rsidRDefault="000C169B" w:rsidP="00F711F7">
            <w:pPr>
              <w:rPr>
                <w:rFonts w:cstheme="minorHAnsi"/>
                <w:sz w:val="24"/>
                <w:szCs w:val="24"/>
              </w:rPr>
            </w:pPr>
          </w:p>
          <w:p w14:paraId="1C5598CE" w14:textId="77777777" w:rsidR="000C169B" w:rsidRPr="009F2150" w:rsidRDefault="000C169B" w:rsidP="00F711F7">
            <w:pPr>
              <w:rPr>
                <w:rFonts w:cstheme="minorHAnsi"/>
                <w:sz w:val="24"/>
                <w:szCs w:val="24"/>
              </w:rPr>
            </w:pPr>
          </w:p>
          <w:p w14:paraId="1AD3C5AB" w14:textId="77777777" w:rsidR="000C169B" w:rsidRPr="009F2150" w:rsidRDefault="000C169B" w:rsidP="00F711F7">
            <w:pPr>
              <w:rPr>
                <w:rFonts w:cstheme="minorHAnsi"/>
                <w:sz w:val="24"/>
                <w:szCs w:val="24"/>
              </w:rPr>
            </w:pPr>
          </w:p>
          <w:p w14:paraId="4952F8C1" w14:textId="77777777" w:rsidR="000C169B" w:rsidRPr="009F2150" w:rsidRDefault="000C169B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F1DD078" w14:textId="77777777" w:rsidR="002677D4" w:rsidRPr="009F2150" w:rsidRDefault="002677D4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05D34298" w14:textId="77777777" w:rsidR="00731BCF" w:rsidRPr="009F2150" w:rsidRDefault="00731BCF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9CCCDF" w14:textId="77777777" w:rsidR="00C75AC3" w:rsidRPr="009F2150" w:rsidRDefault="00C75AC3" w:rsidP="00F711F7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8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C75AC3" w:rsidRPr="009F2150" w14:paraId="1F40D96C" w14:textId="77777777" w:rsidTr="00C75AC3">
        <w:trPr>
          <w:trHeight w:val="672"/>
        </w:trPr>
        <w:tc>
          <w:tcPr>
            <w:tcW w:w="4733" w:type="dxa"/>
            <w:shd w:val="clear" w:color="auto" w:fill="D9E2F3" w:themeFill="accent1" w:themeFillTint="33"/>
          </w:tcPr>
          <w:p w14:paraId="6B6C407B" w14:textId="77777777" w:rsidR="00C75AC3" w:rsidRPr="009F2150" w:rsidRDefault="00C75AC3" w:rsidP="00F711F7">
            <w:pPr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Similarities</w:t>
            </w:r>
          </w:p>
        </w:tc>
        <w:tc>
          <w:tcPr>
            <w:tcW w:w="4733" w:type="dxa"/>
            <w:shd w:val="clear" w:color="auto" w:fill="D9E2F3" w:themeFill="accent1" w:themeFillTint="33"/>
          </w:tcPr>
          <w:p w14:paraId="32F294BD" w14:textId="77777777" w:rsidR="00C75AC3" w:rsidRPr="009F2150" w:rsidRDefault="00C75AC3" w:rsidP="00F711F7">
            <w:pPr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Differences</w:t>
            </w:r>
          </w:p>
        </w:tc>
      </w:tr>
      <w:tr w:rsidR="00C75AC3" w:rsidRPr="009F2150" w14:paraId="70056FA5" w14:textId="77777777" w:rsidTr="00C75AC3">
        <w:trPr>
          <w:trHeight w:val="699"/>
        </w:trPr>
        <w:tc>
          <w:tcPr>
            <w:tcW w:w="4733" w:type="dxa"/>
          </w:tcPr>
          <w:p w14:paraId="15E1D802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14287B0D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AC3" w:rsidRPr="009F2150" w14:paraId="5A1E350B" w14:textId="77777777" w:rsidTr="00C75AC3">
        <w:trPr>
          <w:trHeight w:val="659"/>
        </w:trPr>
        <w:tc>
          <w:tcPr>
            <w:tcW w:w="4733" w:type="dxa"/>
          </w:tcPr>
          <w:p w14:paraId="1B99098D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59101C65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AC3" w:rsidRPr="009F2150" w14:paraId="174E981F" w14:textId="77777777" w:rsidTr="00C75AC3">
        <w:trPr>
          <w:trHeight w:val="699"/>
        </w:trPr>
        <w:tc>
          <w:tcPr>
            <w:tcW w:w="4733" w:type="dxa"/>
          </w:tcPr>
          <w:p w14:paraId="53E5C57B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30D5DB66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AC3" w:rsidRPr="009F2150" w14:paraId="32E4D753" w14:textId="77777777" w:rsidTr="00C75AC3">
        <w:trPr>
          <w:trHeight w:val="659"/>
        </w:trPr>
        <w:tc>
          <w:tcPr>
            <w:tcW w:w="4733" w:type="dxa"/>
          </w:tcPr>
          <w:p w14:paraId="3D2E9C5A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0310049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16EA32" w14:textId="737065A5" w:rsidR="003D755A" w:rsidRPr="00F711F7" w:rsidRDefault="000C169B" w:rsidP="00F711F7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Activity 3</w:t>
      </w:r>
      <w:r w:rsidR="003D755A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="000364D4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ELA Lesson Analysis </w:t>
      </w:r>
      <w:r w:rsidR="009F2150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0364D4"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ith CRE in Mind</w:t>
      </w:r>
    </w:p>
    <w:p w14:paraId="208D83ED" w14:textId="77777777" w:rsidR="00F711F7" w:rsidRDefault="000364D4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 xml:space="preserve">When planning an ELA lesson, consider how you can integrate CRE elements throughout your lesson. Given this </w:t>
      </w:r>
      <w:hyperlink r:id="rId9" w:history="1">
        <w:r w:rsidRPr="009F2150">
          <w:rPr>
            <w:rStyle w:val="Hyperlink"/>
            <w:rFonts w:cstheme="minorHAnsi"/>
            <w:sz w:val="24"/>
            <w:szCs w:val="24"/>
            <w:u w:val="none"/>
          </w:rPr>
          <w:t>lesson plan</w:t>
        </w:r>
      </w:hyperlink>
      <w:r w:rsidRPr="009F2150">
        <w:rPr>
          <w:rFonts w:cstheme="minorHAnsi"/>
          <w:sz w:val="24"/>
          <w:szCs w:val="24"/>
        </w:rPr>
        <w:t xml:space="preserve">, annotate places where you might integrate </w:t>
      </w:r>
      <w:r w:rsidR="009F2150">
        <w:rPr>
          <w:rFonts w:cstheme="minorHAnsi"/>
          <w:sz w:val="24"/>
          <w:szCs w:val="24"/>
        </w:rPr>
        <w:t>two to three</w:t>
      </w:r>
      <w:r w:rsidRPr="009F2150">
        <w:rPr>
          <w:rFonts w:cstheme="minorHAnsi"/>
          <w:sz w:val="24"/>
          <w:szCs w:val="24"/>
        </w:rPr>
        <w:t xml:space="preserve"> of t</w:t>
      </w:r>
      <w:r w:rsidR="00C75AC3" w:rsidRPr="009F2150">
        <w:rPr>
          <w:rFonts w:cstheme="minorHAnsi"/>
          <w:sz w:val="24"/>
          <w:szCs w:val="24"/>
        </w:rPr>
        <w:t>he CRE instructional strategies</w:t>
      </w:r>
      <w:r w:rsidR="00F711F7">
        <w:rPr>
          <w:rFonts w:cstheme="minorHAnsi"/>
          <w:sz w:val="24"/>
          <w:szCs w:val="24"/>
        </w:rPr>
        <w:t>.</w:t>
      </w:r>
    </w:p>
    <w:p w14:paraId="694A9315" w14:textId="77777777" w:rsidR="00F711F7" w:rsidRDefault="00F711F7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4EBA12A5" w14:textId="6CF972C1" w:rsidR="002542B5" w:rsidRPr="00F711F7" w:rsidRDefault="009804F6" w:rsidP="00F711F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711F7">
        <w:rPr>
          <w:rFonts w:cstheme="minorHAnsi"/>
          <w:b/>
          <w:color w:val="000000" w:themeColor="text1"/>
          <w:sz w:val="24"/>
          <w:szCs w:val="24"/>
        </w:rPr>
        <w:t xml:space="preserve">Activity 4: </w:t>
      </w:r>
      <w:r w:rsidR="000364D4" w:rsidRPr="00F711F7">
        <w:rPr>
          <w:rFonts w:cstheme="minorHAnsi"/>
          <w:b/>
          <w:color w:val="000000" w:themeColor="text1"/>
          <w:sz w:val="24"/>
          <w:szCs w:val="24"/>
        </w:rPr>
        <w:t>Choosing C</w:t>
      </w:r>
      <w:r w:rsidR="002542B5" w:rsidRPr="00F711F7">
        <w:rPr>
          <w:rFonts w:cstheme="minorHAnsi"/>
          <w:b/>
          <w:color w:val="000000" w:themeColor="text1"/>
          <w:sz w:val="24"/>
          <w:szCs w:val="24"/>
        </w:rPr>
        <w:t xml:space="preserve">ulturally </w:t>
      </w:r>
      <w:r w:rsidR="000364D4" w:rsidRPr="00F711F7">
        <w:rPr>
          <w:rFonts w:cstheme="minorHAnsi"/>
          <w:b/>
          <w:color w:val="000000" w:themeColor="text1"/>
          <w:sz w:val="24"/>
          <w:szCs w:val="24"/>
        </w:rPr>
        <w:t>Responsive T</w:t>
      </w:r>
      <w:r w:rsidR="002542B5" w:rsidRPr="00F711F7">
        <w:rPr>
          <w:rFonts w:cstheme="minorHAnsi"/>
          <w:b/>
          <w:color w:val="000000" w:themeColor="text1"/>
          <w:sz w:val="24"/>
          <w:szCs w:val="24"/>
        </w:rPr>
        <w:t>exts</w:t>
      </w:r>
    </w:p>
    <w:p w14:paraId="536A1E74" w14:textId="7880F7F4" w:rsidR="009804F6" w:rsidRPr="009F2150" w:rsidRDefault="002542B5" w:rsidP="00F711F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Directions: </w:t>
      </w:r>
      <w:r w:rsidR="009804F6"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Using this </w:t>
      </w:r>
      <w:hyperlink r:id="rId10" w:history="1">
        <w:r w:rsidR="009804F6" w:rsidRPr="009F2150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resource</w:t>
        </w:r>
      </w:hyperlink>
      <w:r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 from Teaching Tolerance</w:t>
      </w:r>
      <w:r w:rsidR="009804F6" w:rsidRPr="009F215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 consider your future classroom setting. Use the resource below (or others) to choose </w:t>
      </w:r>
      <w:r w:rsidR="009F2150">
        <w:rPr>
          <w:rFonts w:asciiTheme="minorHAnsi" w:hAnsiTheme="minorHAnsi" w:cstheme="minorHAnsi"/>
          <w:color w:val="auto"/>
          <w:sz w:val="24"/>
          <w:szCs w:val="24"/>
        </w:rPr>
        <w:t xml:space="preserve">five </w:t>
      </w:r>
      <w:r w:rsidRPr="009F2150">
        <w:rPr>
          <w:rFonts w:asciiTheme="minorHAnsi" w:hAnsiTheme="minorHAnsi" w:cstheme="minorHAnsi"/>
          <w:color w:val="auto"/>
          <w:sz w:val="24"/>
          <w:szCs w:val="24"/>
        </w:rPr>
        <w:t xml:space="preserve">culturally responsive texts for students. Use the space below to name the text and how it is culturally responsive. In the last column, chose a curriculum standard that could be addressed through this text. </w:t>
      </w:r>
    </w:p>
    <w:p w14:paraId="291F322A" w14:textId="77777777" w:rsidR="002542B5" w:rsidRPr="009F2150" w:rsidRDefault="002542B5" w:rsidP="00F711F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2542B5" w:rsidRPr="009F2150" w14:paraId="1600C152" w14:textId="77777777" w:rsidTr="00615CA5">
        <w:trPr>
          <w:trHeight w:val="800"/>
        </w:trPr>
        <w:tc>
          <w:tcPr>
            <w:tcW w:w="3170" w:type="dxa"/>
            <w:shd w:val="clear" w:color="auto" w:fill="D9E2F3" w:themeFill="accent1" w:themeFillTint="33"/>
          </w:tcPr>
          <w:p w14:paraId="2CD44FEC" w14:textId="77777777" w:rsidR="002542B5" w:rsidRPr="009F2150" w:rsidRDefault="002542B5" w:rsidP="00F71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Text (title and author)</w:t>
            </w:r>
          </w:p>
        </w:tc>
        <w:tc>
          <w:tcPr>
            <w:tcW w:w="3171" w:type="dxa"/>
            <w:shd w:val="clear" w:color="auto" w:fill="D9E2F3" w:themeFill="accent1" w:themeFillTint="33"/>
          </w:tcPr>
          <w:p w14:paraId="680AE254" w14:textId="77777777" w:rsidR="002542B5" w:rsidRPr="009F2150" w:rsidRDefault="002542B5" w:rsidP="00F71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Application of CRE</w:t>
            </w:r>
          </w:p>
        </w:tc>
        <w:tc>
          <w:tcPr>
            <w:tcW w:w="3171" w:type="dxa"/>
            <w:shd w:val="clear" w:color="auto" w:fill="D9E2F3" w:themeFill="accent1" w:themeFillTint="33"/>
          </w:tcPr>
          <w:p w14:paraId="0499A94E" w14:textId="77777777" w:rsidR="002542B5" w:rsidRPr="009F2150" w:rsidRDefault="002542B5" w:rsidP="00F71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150">
              <w:rPr>
                <w:rFonts w:cstheme="minorHAnsi"/>
                <w:b/>
                <w:sz w:val="24"/>
                <w:szCs w:val="24"/>
              </w:rPr>
              <w:t>Common core or state standard</w:t>
            </w:r>
          </w:p>
        </w:tc>
      </w:tr>
      <w:tr w:rsidR="002542B5" w:rsidRPr="009F2150" w14:paraId="52EFCF9D" w14:textId="77777777" w:rsidTr="002542B5">
        <w:trPr>
          <w:trHeight w:val="476"/>
        </w:trPr>
        <w:tc>
          <w:tcPr>
            <w:tcW w:w="3170" w:type="dxa"/>
          </w:tcPr>
          <w:p w14:paraId="3605322B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0626B20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AB45362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2B5" w:rsidRPr="009F2150" w14:paraId="633AF262" w14:textId="77777777" w:rsidTr="002542B5">
        <w:trPr>
          <w:trHeight w:val="504"/>
        </w:trPr>
        <w:tc>
          <w:tcPr>
            <w:tcW w:w="3170" w:type="dxa"/>
          </w:tcPr>
          <w:p w14:paraId="54FC894F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72C7C47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0A8B52B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AC3" w:rsidRPr="009F2150" w14:paraId="24BD79E6" w14:textId="77777777" w:rsidTr="002542B5">
        <w:trPr>
          <w:trHeight w:val="504"/>
        </w:trPr>
        <w:tc>
          <w:tcPr>
            <w:tcW w:w="3170" w:type="dxa"/>
          </w:tcPr>
          <w:p w14:paraId="6771898B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9B68D0A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B4D6F8E" w14:textId="77777777" w:rsidR="00C75AC3" w:rsidRPr="009F2150" w:rsidRDefault="00C75AC3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2B5" w:rsidRPr="009F2150" w14:paraId="38D5A0B3" w14:textId="77777777" w:rsidTr="002542B5">
        <w:trPr>
          <w:trHeight w:val="476"/>
        </w:trPr>
        <w:tc>
          <w:tcPr>
            <w:tcW w:w="3170" w:type="dxa"/>
          </w:tcPr>
          <w:p w14:paraId="13FA21D5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DF0A179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36F8889" w14:textId="77777777" w:rsidR="002542B5" w:rsidRPr="009F2150" w:rsidRDefault="002542B5" w:rsidP="00F711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DAD831" w14:textId="30DEC28B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17FFF8AE" w14:textId="3CA658F5" w:rsidR="76BCDF78" w:rsidRPr="00F711F7" w:rsidRDefault="76BCDF78" w:rsidP="00F711F7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711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Activity 5: Culturally Responsive Math Lesson Analysis </w:t>
      </w:r>
    </w:p>
    <w:p w14:paraId="6CB6D36A" w14:textId="5D588E07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Directions:</w:t>
      </w:r>
      <w:r w:rsidR="009F2150">
        <w:rPr>
          <w:rFonts w:cstheme="minorHAnsi"/>
          <w:sz w:val="24"/>
          <w:szCs w:val="24"/>
        </w:rPr>
        <w:t xml:space="preserve"> </w:t>
      </w:r>
      <w:r w:rsidRPr="009F2150">
        <w:rPr>
          <w:rFonts w:cstheme="minorHAnsi"/>
          <w:sz w:val="24"/>
          <w:szCs w:val="24"/>
        </w:rPr>
        <w:t xml:space="preserve">Using the </w:t>
      </w:r>
      <w:hyperlink r:id="rId11">
        <w:r w:rsidRPr="009F2150">
          <w:rPr>
            <w:rStyle w:val="Hyperlink"/>
            <w:rFonts w:cstheme="minorHAnsi"/>
            <w:sz w:val="24"/>
            <w:szCs w:val="24"/>
            <w:u w:val="none"/>
          </w:rPr>
          <w:t>Math Lesson Analysis Tool</w:t>
        </w:r>
      </w:hyperlink>
      <w:r w:rsidRPr="009F2150">
        <w:rPr>
          <w:rFonts w:cstheme="minorHAnsi"/>
          <w:sz w:val="24"/>
          <w:szCs w:val="24"/>
        </w:rPr>
        <w:t xml:space="preserve"> (Aguirre &amp; Zavala, 2013), reflect on a current math lesson using the six elements of CR math instruction. With a colleague, brainstorm ways to adapt your lesson plan to incorporate more CR practices. </w:t>
      </w:r>
    </w:p>
    <w:p w14:paraId="2FD0F8B7" w14:textId="77777777" w:rsidR="00F711F7" w:rsidRDefault="00F711F7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44F2BFA7" w14:textId="7C83B45B" w:rsidR="76BCDF78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 xml:space="preserve">CR </w:t>
      </w:r>
      <w:r w:rsidR="00F711F7">
        <w:rPr>
          <w:rFonts w:cstheme="minorHAnsi"/>
          <w:sz w:val="24"/>
          <w:szCs w:val="24"/>
        </w:rPr>
        <w:t>a</w:t>
      </w:r>
      <w:r w:rsidRPr="009F2150">
        <w:rPr>
          <w:rFonts w:cstheme="minorHAnsi"/>
          <w:sz w:val="24"/>
          <w:szCs w:val="24"/>
        </w:rPr>
        <w:t xml:space="preserve">daptations </w:t>
      </w:r>
      <w:r w:rsidR="00F711F7">
        <w:rPr>
          <w:rFonts w:cstheme="minorHAnsi"/>
          <w:sz w:val="24"/>
          <w:szCs w:val="24"/>
        </w:rPr>
        <w:t>you can make</w:t>
      </w:r>
      <w:r w:rsidRPr="009F2150">
        <w:rPr>
          <w:rFonts w:cstheme="minorHAnsi"/>
          <w:sz w:val="24"/>
          <w:szCs w:val="24"/>
        </w:rPr>
        <w:t xml:space="preserve">: </w:t>
      </w:r>
    </w:p>
    <w:p w14:paraId="63AB01A4" w14:textId="77777777" w:rsidR="00F711F7" w:rsidRPr="009F2150" w:rsidRDefault="00F711F7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50E8B1D7" w14:textId="421C7E85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1. ____________________________________________________________________________________________________________________________________________________________</w:t>
      </w:r>
      <w:r w:rsidRPr="009F2150">
        <w:rPr>
          <w:rFonts w:cstheme="minorHAnsi"/>
          <w:sz w:val="24"/>
          <w:szCs w:val="24"/>
        </w:rPr>
        <w:br/>
      </w:r>
    </w:p>
    <w:p w14:paraId="760C7441" w14:textId="5A2E835D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2. ____________________________________________________________________________________________________________________________________________________________</w:t>
      </w:r>
    </w:p>
    <w:p w14:paraId="2C22B3EE" w14:textId="09665353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34E5FB46" w14:textId="457278D3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3.  ____________________________________________________________________________________________________________________________________________________________</w:t>
      </w:r>
    </w:p>
    <w:p w14:paraId="20607087" w14:textId="3657C478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24BBFB5C" w14:textId="53922206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  <w:r w:rsidRPr="009F2150">
        <w:rPr>
          <w:rFonts w:cstheme="minorHAnsi"/>
          <w:sz w:val="24"/>
          <w:szCs w:val="24"/>
        </w:rPr>
        <w:t>4.  ____________________________________________________________________________________________________________________________________________________________</w:t>
      </w:r>
    </w:p>
    <w:p w14:paraId="2771F06D" w14:textId="5A204C45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</w:p>
    <w:p w14:paraId="6DBA96CC" w14:textId="3646C2E4" w:rsidR="76BCDF78" w:rsidRPr="009F2150" w:rsidRDefault="76BCDF78" w:rsidP="00F711F7">
      <w:pPr>
        <w:spacing w:after="0" w:line="240" w:lineRule="auto"/>
        <w:rPr>
          <w:rFonts w:cstheme="minorHAnsi"/>
          <w:sz w:val="24"/>
          <w:szCs w:val="24"/>
        </w:rPr>
      </w:pPr>
    </w:p>
    <w:sectPr w:rsidR="76BCDF78" w:rsidRPr="009F215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9FB1" w14:textId="77777777" w:rsidR="00CE4911" w:rsidRDefault="00CE4911" w:rsidP="002677D4">
      <w:pPr>
        <w:spacing w:after="0" w:line="240" w:lineRule="auto"/>
      </w:pPr>
      <w:r>
        <w:separator/>
      </w:r>
    </w:p>
  </w:endnote>
  <w:endnote w:type="continuationSeparator" w:id="0">
    <w:p w14:paraId="1C231E53" w14:textId="77777777" w:rsidR="00CE4911" w:rsidRDefault="00CE4911" w:rsidP="002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0829" w14:textId="77777777" w:rsidR="00CE4911" w:rsidRDefault="00CE4911" w:rsidP="002677D4">
      <w:pPr>
        <w:spacing w:after="0" w:line="240" w:lineRule="auto"/>
      </w:pPr>
      <w:r>
        <w:separator/>
      </w:r>
    </w:p>
  </w:footnote>
  <w:footnote w:type="continuationSeparator" w:id="0">
    <w:p w14:paraId="066AF4A3" w14:textId="77777777" w:rsidR="00CE4911" w:rsidRDefault="00CE4911" w:rsidP="002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5480" w14:textId="77777777" w:rsidR="002677D4" w:rsidRDefault="002677D4">
    <w:pPr>
      <w:pStyle w:val="Header"/>
    </w:pPr>
    <w:r>
      <w:rPr>
        <w:noProof/>
      </w:rPr>
      <w:drawing>
        <wp:inline distT="0" distB="0" distL="0" distR="0" wp14:anchorId="020BA59A" wp14:editId="09C2F637">
          <wp:extent cx="1656862" cy="50442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94" cy="526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D4"/>
    <w:rsid w:val="000364D4"/>
    <w:rsid w:val="000C169B"/>
    <w:rsid w:val="000C2FC8"/>
    <w:rsid w:val="001D1317"/>
    <w:rsid w:val="001F2CDD"/>
    <w:rsid w:val="002542B5"/>
    <w:rsid w:val="002677D4"/>
    <w:rsid w:val="002B0FE3"/>
    <w:rsid w:val="002E4D7F"/>
    <w:rsid w:val="003D755A"/>
    <w:rsid w:val="00615CA5"/>
    <w:rsid w:val="0065193B"/>
    <w:rsid w:val="00731BCF"/>
    <w:rsid w:val="00783CEF"/>
    <w:rsid w:val="007D600A"/>
    <w:rsid w:val="0085094F"/>
    <w:rsid w:val="008A32CA"/>
    <w:rsid w:val="008F13FC"/>
    <w:rsid w:val="009804F6"/>
    <w:rsid w:val="009F2150"/>
    <w:rsid w:val="009F5B4D"/>
    <w:rsid w:val="00C75AC3"/>
    <w:rsid w:val="00CE4911"/>
    <w:rsid w:val="00DB0352"/>
    <w:rsid w:val="00E26A03"/>
    <w:rsid w:val="00E7223B"/>
    <w:rsid w:val="00EA5FD8"/>
    <w:rsid w:val="00F711F7"/>
    <w:rsid w:val="00FB7B11"/>
    <w:rsid w:val="00FF7B41"/>
    <w:rsid w:val="17081DDC"/>
    <w:rsid w:val="76BCD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360D"/>
  <w15:chartTrackingRefBased/>
  <w15:docId w15:val="{EC659548-A9E2-4661-8A40-479DDBB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D4"/>
  </w:style>
  <w:style w:type="paragraph" w:styleId="Footer">
    <w:name w:val="footer"/>
    <w:basedOn w:val="Normal"/>
    <w:link w:val="FooterChar"/>
    <w:uiPriority w:val="99"/>
    <w:unhideWhenUsed/>
    <w:rsid w:val="0026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D4"/>
  </w:style>
  <w:style w:type="table" w:styleId="TableGrid">
    <w:name w:val="Table Grid"/>
    <w:basedOn w:val="TableNormal"/>
    <w:uiPriority w:val="39"/>
    <w:rsid w:val="0026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4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6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dar.education.ufl.edu/high-leverage-practi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ingworks.org/work-of-teaching/high-leverage-practice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edar.education.ufl.edu/wp-content/uploads/2016/11/CLD-Students-and-EPPs.pdf" TargetMode="External"/><Relationship Id="rId11" Type="http://schemas.openxmlformats.org/officeDocument/2006/relationships/hyperlink" Target="http://www.mathconnect.hs.iastate.edu/documents/CRMTLessonAnalysisTool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olerance.org/classroom-resources/tex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acher.org/wp-content/themes/teacher/scripts/lesson-plans/generate_lesson_plan.php?id=story-them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Dia</dc:creator>
  <cp:keywords/>
  <dc:description/>
  <cp:lastModifiedBy>Jacki Donaldson</cp:lastModifiedBy>
  <cp:revision>2</cp:revision>
  <dcterms:created xsi:type="dcterms:W3CDTF">2019-08-08T18:59:00Z</dcterms:created>
  <dcterms:modified xsi:type="dcterms:W3CDTF">2019-08-08T18:59:00Z</dcterms:modified>
</cp:coreProperties>
</file>