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2BF3" w:rsidRPr="00691C47" w:rsidRDefault="00691C47" w:rsidP="00691C47">
      <w:pPr>
        <w:pStyle w:val="Heading1"/>
      </w:pPr>
      <w:r w:rsidRPr="00691C47">
        <mc:AlternateContent>
          <mc:Choice Requires="wps">
            <w:drawing>
              <wp:anchor distT="0" distB="0" distL="114300" distR="114300" simplePos="0" relativeHeight="251659264" behindDoc="0" locked="0" layoutInCell="1" allowOverlap="1" wp14:anchorId="73228184" wp14:editId="0DCF90B4">
                <wp:simplePos x="0" y="0"/>
                <wp:positionH relativeFrom="column">
                  <wp:posOffset>-431165</wp:posOffset>
                </wp:positionH>
                <wp:positionV relativeFrom="paragraph">
                  <wp:posOffset>-482912</wp:posOffset>
                </wp:positionV>
                <wp:extent cx="1371600" cy="6858000"/>
                <wp:effectExtent l="0" t="0" r="0" b="0"/>
                <wp:wrapNone/>
                <wp:docPr id="1" name="Rectangle 1"/>
                <wp:cNvGraphicFramePr/>
                <a:graphic xmlns:a="http://schemas.openxmlformats.org/drawingml/2006/main">
                  <a:graphicData uri="http://schemas.microsoft.com/office/word/2010/wordprocessingShape">
                    <wps:wsp>
                      <wps:cNvSpPr/>
                      <wps:spPr>
                        <a:xfrm>
                          <a:off x="0" y="0"/>
                          <a:ext cx="1371600" cy="6858000"/>
                        </a:xfrm>
                        <a:prstGeom prst="rect">
                          <a:avLst/>
                        </a:prstGeom>
                        <a:gradFill flip="none" rotWithShape="1">
                          <a:gsLst>
                            <a:gs pos="0">
                              <a:schemeClr val="accent4"/>
                            </a:gs>
                            <a:gs pos="62000">
                              <a:schemeClr val="accent4">
                                <a:lumMod val="60000"/>
                                <a:lumOff val="40000"/>
                              </a:schemeClr>
                            </a:gs>
                            <a:gs pos="100000">
                              <a:schemeClr val="accent4">
                                <a:lumMod val="20000"/>
                                <a:lumOff val="8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BAA492" id="Rectangle 1" o:spid="_x0000_s1026" style="position:absolute;margin-left:-33.95pt;margin-top:-38pt;width:10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" fillcolor="#773c75 [3207]" stroked="f" strokeweight="2pt">
                <v:fill color2="#e8d2e8 [663]" rotate="t" angle="180" colors="0 #773c75;40632f #bc7bba;1 #e9d3e8" focus="100%" type="gradient"/>
              </v:rect>
            </w:pict>
          </mc:Fallback>
        </mc:AlternateContent>
      </w:r>
      <w:r w:rsidRPr="00691C47">
        <w:t>Learning to Teach</w:t>
      </w:r>
    </w:p>
    <w:p w:rsidR="00691C47" w:rsidRPr="00691C47" w:rsidRDefault="00691C47" w:rsidP="00691C47">
      <w:pPr>
        <w:pStyle w:val="CoverSubtitle"/>
      </w:pPr>
      <w:r w:rsidRPr="00691C47">
        <w:t>A Framework for Crafting High-Quality, Practice-Based Preparation</w:t>
      </w:r>
    </w:p>
    <w:p w:rsidR="00F712CC" w:rsidRDefault="00691C47" w:rsidP="000611F0">
      <w:pPr>
        <w:pStyle w:val="CoverFrontDate"/>
      </w:pPr>
      <w:r w:rsidRPr="000611F0">
        <mc:AlternateContent>
          <mc:Choice Requires="wps">
            <w:drawing>
              <wp:anchor distT="0" distB="0" distL="114300" distR="114300" simplePos="0" relativeHeight="251660288" behindDoc="0" locked="0" layoutInCell="1" allowOverlap="1" wp14:anchorId="6EEF04A8" wp14:editId="629294DE">
                <wp:simplePos x="0" y="0"/>
                <wp:positionH relativeFrom="column">
                  <wp:posOffset>1000125</wp:posOffset>
                </wp:positionH>
                <wp:positionV relativeFrom="paragraph">
                  <wp:posOffset>271780</wp:posOffset>
                </wp:positionV>
                <wp:extent cx="75628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5628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E9CB1F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21.4pt" to="674.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" strokecolor="#003462 [3215]" strokeweight="2.25pt"/>
            </w:pict>
          </mc:Fallback>
        </mc:AlternateContent>
      </w:r>
      <w:r w:rsidRPr="000611F0">
        <w:t>July 2016</w:t>
      </w:r>
    </w:p>
    <w:p w:rsidR="000611F0" w:rsidRPr="000611F0" w:rsidRDefault="000611F0" w:rsidP="000611F0">
      <w:pPr>
        <w:pStyle w:val="CoverFrontDate"/>
        <w:spacing w:before="3600"/>
      </w:pPr>
    </w:p>
    <w:p w:rsidR="00F712CC" w:rsidRDefault="00CA4450" w:rsidP="00506F2D">
      <w:pPr>
        <w:pStyle w:val="CoverFrontOrganization"/>
      </w:pPr>
      <w:r>
        <w:rPr>
          <w:noProof/>
        </w:rPr>
        <w:drawing>
          <wp:anchor distT="0" distB="0" distL="114300" distR="114300" simplePos="0" relativeHeight="251662336" behindDoc="0" locked="0" layoutInCell="1" allowOverlap="1" wp14:anchorId="1B2F7080" wp14:editId="05FB8D42">
            <wp:simplePos x="0" y="0"/>
            <wp:positionH relativeFrom="column">
              <wp:posOffset>7703185</wp:posOffset>
            </wp:positionH>
            <wp:positionV relativeFrom="paragraph">
              <wp:posOffset>33655</wp:posOffset>
            </wp:positionV>
            <wp:extent cx="862330" cy="862330"/>
            <wp:effectExtent l="0" t="0" r="0" b="0"/>
            <wp:wrapNone/>
            <wp:docPr id="12" name="Picture 12" descr="\\il1filesvr\groups\Editing\___Templates_Word-PPT\NCII\Graphics\ideas_that_work_425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filesvr\groups\Editing\___Templates_Word-PPT\NCII\Graphics\ideas_that_work_425x4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674D4470" wp14:editId="1A4766F0">
            <wp:simplePos x="0" y="0"/>
            <wp:positionH relativeFrom="column">
              <wp:posOffset>5564402</wp:posOffset>
            </wp:positionH>
            <wp:positionV relativeFrom="paragraph">
              <wp:posOffset>234950</wp:posOffset>
            </wp:positionV>
            <wp:extent cx="1957705" cy="59245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7705" cy="592455"/>
                    </a:xfrm>
                    <a:prstGeom prst="rect">
                      <a:avLst/>
                    </a:prstGeom>
                    <a:noFill/>
                  </pic:spPr>
                </pic:pic>
              </a:graphicData>
            </a:graphic>
          </wp:anchor>
        </w:drawing>
      </w:r>
    </w:p>
    <w:p w:rsidR="008F5A9F" w:rsidRDefault="008F5A9F" w:rsidP="008F5A9F">
      <w:pPr>
        <w:sectPr w:rsidR="008F5A9F" w:rsidSect="00A71F51">
          <w:headerReference w:type="default" r:id="rId15"/>
          <w:pgSz w:w="15840" w:h="12240" w:orient="landscape"/>
          <w:pgMar w:top="1440" w:right="1440" w:bottom="1440" w:left="1440" w:header="288" w:footer="288" w:gutter="0"/>
          <w:pgNumType w:fmt="lowerRoman" w:start="1"/>
          <w:cols w:space="720"/>
          <w:titlePg/>
          <w:docGrid w:linePitch="360"/>
        </w:sectPr>
      </w:pPr>
    </w:p>
    <w:p w:rsidR="008F5A9F" w:rsidRPr="007F138D" w:rsidRDefault="008F5A9F" w:rsidP="007F138D">
      <w:pPr>
        <w:pStyle w:val="TOCHeading"/>
      </w:pPr>
      <w:r w:rsidRPr="007F138D">
        <w:lastRenderedPageBreak/>
        <w:t>Contents</w:t>
      </w:r>
    </w:p>
    <w:p w:rsidR="001A7B4E" w:rsidRPr="00770A09" w:rsidRDefault="00DD64A0" w:rsidP="00770A09">
      <w:pPr>
        <w:pStyle w:val="TOC1"/>
        <w:rPr>
          <w:rFonts w:eastAsiaTheme="minorEastAsia"/>
        </w:rPr>
      </w:pPr>
      <w:r>
        <w:fldChar w:fldCharType="begin"/>
      </w:r>
      <w:r>
        <w:instrText xml:space="preserve"> TOC \h \z \u \t "Heading 2,1,Heading 3,2" </w:instrText>
      </w:r>
      <w:r>
        <w:fldChar w:fldCharType="separate"/>
      </w:r>
      <w:hyperlink w:anchor="_Toc455597962" w:history="1">
        <w:r w:rsidR="001A7B4E" w:rsidRPr="00770A09">
          <w:rPr>
            <w:rStyle w:val="Hyperlink"/>
            <w:color w:val="auto"/>
            <w:u w:val="none"/>
          </w:rPr>
          <w:t>Overview</w:t>
        </w:r>
        <w:r w:rsidR="001A7B4E" w:rsidRPr="00770A09">
          <w:rPr>
            <w:webHidden/>
          </w:rPr>
          <w:tab/>
        </w:r>
        <w:r w:rsidR="001A7B4E" w:rsidRPr="00770A09">
          <w:rPr>
            <w:webHidden/>
          </w:rPr>
          <w:fldChar w:fldCharType="begin"/>
        </w:r>
        <w:r w:rsidR="001A7B4E" w:rsidRPr="00770A09">
          <w:rPr>
            <w:webHidden/>
          </w:rPr>
          <w:instrText xml:space="preserve"> PAGEREF _Toc455597962 \h </w:instrText>
        </w:r>
        <w:r w:rsidR="001A7B4E" w:rsidRPr="00770A09">
          <w:rPr>
            <w:webHidden/>
          </w:rPr>
        </w:r>
        <w:r w:rsidR="001A7B4E" w:rsidRPr="00770A09">
          <w:rPr>
            <w:webHidden/>
          </w:rPr>
          <w:fldChar w:fldCharType="separate"/>
        </w:r>
        <w:r w:rsidR="00EE7548" w:rsidRPr="00770A09">
          <w:rPr>
            <w:webHidden/>
          </w:rPr>
          <w:t>1</w:t>
        </w:r>
        <w:r w:rsidR="001A7B4E" w:rsidRPr="00770A09">
          <w:rPr>
            <w:webHidden/>
          </w:rPr>
          <w:fldChar w:fldCharType="end"/>
        </w:r>
      </w:hyperlink>
    </w:p>
    <w:p w:rsidR="001A7B4E" w:rsidRPr="00770A09" w:rsidRDefault="000D111B" w:rsidP="00770A09">
      <w:pPr>
        <w:pStyle w:val="TOC1"/>
        <w:rPr>
          <w:rFonts w:eastAsiaTheme="minorEastAsia"/>
        </w:rPr>
      </w:pPr>
      <w:hyperlink w:anchor="_Toc455597963" w:history="1">
        <w:r w:rsidR="001A7B4E" w:rsidRPr="00770A09">
          <w:rPr>
            <w:rStyle w:val="Hyperlink"/>
            <w:color w:val="auto"/>
            <w:u w:val="none"/>
          </w:rPr>
          <w:t>Contents of This Guide</w:t>
        </w:r>
        <w:r w:rsidR="001A7B4E" w:rsidRPr="00770A09">
          <w:rPr>
            <w:webHidden/>
          </w:rPr>
          <w:tab/>
        </w:r>
        <w:r w:rsidR="001A7B4E" w:rsidRPr="00770A09">
          <w:rPr>
            <w:webHidden/>
          </w:rPr>
          <w:fldChar w:fldCharType="begin"/>
        </w:r>
        <w:r w:rsidR="001A7B4E" w:rsidRPr="00770A09">
          <w:rPr>
            <w:webHidden/>
          </w:rPr>
          <w:instrText xml:space="preserve"> PAGEREF _Toc455597963 \h </w:instrText>
        </w:r>
        <w:r w:rsidR="001A7B4E" w:rsidRPr="00770A09">
          <w:rPr>
            <w:webHidden/>
          </w:rPr>
        </w:r>
        <w:r w:rsidR="001A7B4E" w:rsidRPr="00770A09">
          <w:rPr>
            <w:webHidden/>
          </w:rPr>
          <w:fldChar w:fldCharType="separate"/>
        </w:r>
        <w:r w:rsidR="00EE7548" w:rsidRPr="00770A09">
          <w:rPr>
            <w:webHidden/>
          </w:rPr>
          <w:t>1</w:t>
        </w:r>
        <w:r w:rsidR="001A7B4E" w:rsidRPr="00770A09">
          <w:rPr>
            <w:webHidden/>
          </w:rPr>
          <w:fldChar w:fldCharType="end"/>
        </w:r>
      </w:hyperlink>
    </w:p>
    <w:p w:rsidR="001A7B4E" w:rsidRPr="00770A09" w:rsidRDefault="000D111B" w:rsidP="00770A09">
      <w:pPr>
        <w:pStyle w:val="TOC1"/>
        <w:rPr>
          <w:rFonts w:eastAsiaTheme="minorEastAsia"/>
        </w:rPr>
      </w:pPr>
      <w:hyperlink w:anchor="_Toc455597964" w:history="1">
        <w:r w:rsidR="001A7B4E" w:rsidRPr="00770A09">
          <w:rPr>
            <w:rStyle w:val="Hyperlink"/>
            <w:color w:val="auto"/>
            <w:u w:val="none"/>
          </w:rPr>
          <w:t>Audience</w:t>
        </w:r>
        <w:r w:rsidR="001A7B4E" w:rsidRPr="00770A09">
          <w:rPr>
            <w:webHidden/>
          </w:rPr>
          <w:tab/>
        </w:r>
        <w:r w:rsidR="001A7B4E" w:rsidRPr="00770A09">
          <w:rPr>
            <w:webHidden/>
          </w:rPr>
          <w:fldChar w:fldCharType="begin"/>
        </w:r>
        <w:r w:rsidR="001A7B4E" w:rsidRPr="00770A09">
          <w:rPr>
            <w:webHidden/>
          </w:rPr>
          <w:instrText xml:space="preserve"> PAGEREF _Toc455597964 \h </w:instrText>
        </w:r>
        <w:r w:rsidR="001A7B4E" w:rsidRPr="00770A09">
          <w:rPr>
            <w:webHidden/>
          </w:rPr>
        </w:r>
        <w:r w:rsidR="001A7B4E" w:rsidRPr="00770A09">
          <w:rPr>
            <w:webHidden/>
          </w:rPr>
          <w:fldChar w:fldCharType="separate"/>
        </w:r>
        <w:r w:rsidR="00EE7548" w:rsidRPr="00770A09">
          <w:rPr>
            <w:webHidden/>
          </w:rPr>
          <w:t>1</w:t>
        </w:r>
        <w:r w:rsidR="001A7B4E" w:rsidRPr="00770A09">
          <w:rPr>
            <w:webHidden/>
          </w:rPr>
          <w:fldChar w:fldCharType="end"/>
        </w:r>
      </w:hyperlink>
    </w:p>
    <w:p w:rsidR="001A7B4E" w:rsidRPr="00770A09" w:rsidRDefault="000D111B" w:rsidP="00770A09">
      <w:pPr>
        <w:pStyle w:val="TOC1"/>
        <w:rPr>
          <w:rFonts w:eastAsiaTheme="minorEastAsia"/>
        </w:rPr>
      </w:pPr>
      <w:hyperlink w:anchor="_Toc455597965" w:history="1">
        <w:r w:rsidR="001A7B4E" w:rsidRPr="00770A09">
          <w:rPr>
            <w:rStyle w:val="Hyperlink"/>
            <w:color w:val="auto"/>
            <w:u w:val="none"/>
          </w:rPr>
          <w:t>Purpose</w:t>
        </w:r>
        <w:r w:rsidR="00770A09">
          <w:rPr>
            <w:webHidden/>
          </w:rPr>
          <w:tab/>
        </w:r>
        <w:r w:rsidR="00770A09">
          <w:rPr>
            <w:webHidden/>
          </w:rPr>
          <w:tab/>
        </w:r>
        <w:r w:rsidR="001A7B4E" w:rsidRPr="00770A09">
          <w:rPr>
            <w:webHidden/>
          </w:rPr>
          <w:fldChar w:fldCharType="begin"/>
        </w:r>
        <w:r w:rsidR="001A7B4E" w:rsidRPr="00770A09">
          <w:rPr>
            <w:webHidden/>
          </w:rPr>
          <w:instrText xml:space="preserve"> PAGEREF _Toc455597965 \h </w:instrText>
        </w:r>
        <w:r w:rsidR="001A7B4E" w:rsidRPr="00770A09">
          <w:rPr>
            <w:webHidden/>
          </w:rPr>
        </w:r>
        <w:r w:rsidR="001A7B4E" w:rsidRPr="00770A09">
          <w:rPr>
            <w:webHidden/>
          </w:rPr>
          <w:fldChar w:fldCharType="separate"/>
        </w:r>
        <w:r w:rsidR="00EE7548" w:rsidRPr="00770A09">
          <w:rPr>
            <w:webHidden/>
          </w:rPr>
          <w:t>1</w:t>
        </w:r>
        <w:r w:rsidR="001A7B4E" w:rsidRPr="00770A09">
          <w:rPr>
            <w:webHidden/>
          </w:rPr>
          <w:fldChar w:fldCharType="end"/>
        </w:r>
      </w:hyperlink>
    </w:p>
    <w:p w:rsidR="001A7B4E" w:rsidRPr="00770A09" w:rsidRDefault="000D111B" w:rsidP="00770A09">
      <w:pPr>
        <w:pStyle w:val="TOC1"/>
        <w:rPr>
          <w:rFonts w:eastAsiaTheme="minorEastAsia"/>
        </w:rPr>
      </w:pPr>
      <w:hyperlink w:anchor="_Toc455597966" w:history="1">
        <w:r w:rsidR="001A7B4E" w:rsidRPr="00770A09">
          <w:rPr>
            <w:rStyle w:val="Hyperlink"/>
            <w:color w:val="auto"/>
            <w:u w:val="none"/>
          </w:rPr>
          <w:t>Facilitation Instructions</w:t>
        </w:r>
        <w:r w:rsidR="001A7B4E" w:rsidRPr="00770A09">
          <w:rPr>
            <w:webHidden/>
          </w:rPr>
          <w:tab/>
        </w:r>
        <w:r w:rsidR="001A7B4E" w:rsidRPr="00770A09">
          <w:rPr>
            <w:webHidden/>
          </w:rPr>
          <w:fldChar w:fldCharType="begin"/>
        </w:r>
        <w:r w:rsidR="001A7B4E" w:rsidRPr="00770A09">
          <w:rPr>
            <w:webHidden/>
          </w:rPr>
          <w:instrText xml:space="preserve"> PAGEREF _Toc455597966 \h </w:instrText>
        </w:r>
        <w:r w:rsidR="001A7B4E" w:rsidRPr="00770A09">
          <w:rPr>
            <w:webHidden/>
          </w:rPr>
        </w:r>
        <w:r w:rsidR="001A7B4E" w:rsidRPr="00770A09">
          <w:rPr>
            <w:webHidden/>
          </w:rPr>
          <w:fldChar w:fldCharType="separate"/>
        </w:r>
        <w:r w:rsidR="00EE7548" w:rsidRPr="00770A09">
          <w:rPr>
            <w:webHidden/>
          </w:rPr>
          <w:t>1</w:t>
        </w:r>
        <w:r w:rsidR="001A7B4E" w:rsidRPr="00770A09">
          <w:rPr>
            <w:webHidden/>
          </w:rPr>
          <w:fldChar w:fldCharType="end"/>
        </w:r>
      </w:hyperlink>
    </w:p>
    <w:p w:rsidR="001A7B4E" w:rsidRPr="00770A09" w:rsidRDefault="000D111B" w:rsidP="00770A09">
      <w:pPr>
        <w:pStyle w:val="TOC1"/>
        <w:rPr>
          <w:rFonts w:eastAsiaTheme="minorEastAsia"/>
        </w:rPr>
      </w:pPr>
      <w:hyperlink w:anchor="_Toc455597967" w:history="1">
        <w:r w:rsidR="00770A09" w:rsidRPr="00770A09">
          <w:rPr>
            <w:rStyle w:val="Hyperlink"/>
            <w:color w:val="auto"/>
            <w:u w:val="none"/>
          </w:rPr>
          <w:t>STEP</w:t>
        </w:r>
        <w:r w:rsidR="001A7B4E" w:rsidRPr="00770A09">
          <w:rPr>
            <w:rStyle w:val="Hyperlink"/>
            <w:color w:val="auto"/>
            <w:u w:val="none"/>
          </w:rPr>
          <w:t xml:space="preserve"> 1: Identifying Critical Content and Pedagogy</w:t>
        </w:r>
        <w:r w:rsidR="001A7B4E" w:rsidRPr="00770A09">
          <w:rPr>
            <w:webHidden/>
          </w:rPr>
          <w:tab/>
        </w:r>
        <w:r w:rsidR="001A7B4E" w:rsidRPr="00770A09">
          <w:rPr>
            <w:webHidden/>
          </w:rPr>
          <w:fldChar w:fldCharType="begin"/>
        </w:r>
        <w:r w:rsidR="001A7B4E" w:rsidRPr="00770A09">
          <w:rPr>
            <w:webHidden/>
          </w:rPr>
          <w:instrText xml:space="preserve"> PAGEREF _Toc455597967 \h </w:instrText>
        </w:r>
        <w:r w:rsidR="001A7B4E" w:rsidRPr="00770A09">
          <w:rPr>
            <w:webHidden/>
          </w:rPr>
        </w:r>
        <w:r w:rsidR="001A7B4E" w:rsidRPr="00770A09">
          <w:rPr>
            <w:webHidden/>
          </w:rPr>
          <w:fldChar w:fldCharType="separate"/>
        </w:r>
        <w:r w:rsidR="00EE7548" w:rsidRPr="00770A09">
          <w:rPr>
            <w:webHidden/>
          </w:rPr>
          <w:t>1</w:t>
        </w:r>
        <w:r w:rsidR="001A7B4E" w:rsidRPr="00770A09">
          <w:rPr>
            <w:webHidden/>
          </w:rPr>
          <w:fldChar w:fldCharType="end"/>
        </w:r>
      </w:hyperlink>
    </w:p>
    <w:p w:rsidR="001A7B4E" w:rsidRPr="00770A09" w:rsidRDefault="000D111B" w:rsidP="00770A09">
      <w:pPr>
        <w:pStyle w:val="TOC1"/>
        <w:rPr>
          <w:rFonts w:eastAsiaTheme="minorEastAsia"/>
        </w:rPr>
      </w:pPr>
      <w:hyperlink w:anchor="_Toc455597968" w:history="1">
        <w:r w:rsidR="00770A09" w:rsidRPr="00770A09">
          <w:rPr>
            <w:rStyle w:val="Hyperlink"/>
            <w:color w:val="auto"/>
            <w:u w:val="none"/>
          </w:rPr>
          <w:t>STEP</w:t>
        </w:r>
        <w:r w:rsidR="001A7B4E" w:rsidRPr="00770A09">
          <w:rPr>
            <w:rStyle w:val="Hyperlink"/>
            <w:color w:val="auto"/>
            <w:u w:val="none"/>
          </w:rPr>
          <w:t xml:space="preserve"> 2: Assessment and Consideration of Program’s Existing and Desired Approach to Creating </w:t>
        </w:r>
        <w:r w:rsidR="00770A09">
          <w:rPr>
            <w:rStyle w:val="Hyperlink"/>
            <w:color w:val="auto"/>
            <w:u w:val="none"/>
          </w:rPr>
          <w:br/>
        </w:r>
        <w:r w:rsidR="001A7B4E" w:rsidRPr="00770A09">
          <w:rPr>
            <w:rStyle w:val="Hyperlink"/>
            <w:color w:val="auto"/>
            <w:u w:val="none"/>
          </w:rPr>
          <w:t>High-Quality, Practice-Based Opportunities</w:t>
        </w:r>
        <w:r w:rsidR="001A7B4E" w:rsidRPr="00770A09">
          <w:rPr>
            <w:webHidden/>
          </w:rPr>
          <w:tab/>
        </w:r>
        <w:r w:rsidR="001A7B4E" w:rsidRPr="00770A09">
          <w:rPr>
            <w:webHidden/>
          </w:rPr>
          <w:fldChar w:fldCharType="begin"/>
        </w:r>
        <w:r w:rsidR="001A7B4E" w:rsidRPr="00770A09">
          <w:rPr>
            <w:webHidden/>
          </w:rPr>
          <w:instrText xml:space="preserve"> PAGEREF _Toc455597968 \h </w:instrText>
        </w:r>
        <w:r w:rsidR="001A7B4E" w:rsidRPr="00770A09">
          <w:rPr>
            <w:webHidden/>
          </w:rPr>
        </w:r>
        <w:r w:rsidR="001A7B4E" w:rsidRPr="00770A09">
          <w:rPr>
            <w:webHidden/>
          </w:rPr>
          <w:fldChar w:fldCharType="separate"/>
        </w:r>
        <w:r w:rsidR="00EE7548" w:rsidRPr="00770A09">
          <w:rPr>
            <w:webHidden/>
          </w:rPr>
          <w:t>4</w:t>
        </w:r>
        <w:r w:rsidR="001A7B4E" w:rsidRPr="00770A09">
          <w:rPr>
            <w:webHidden/>
          </w:rPr>
          <w:fldChar w:fldCharType="end"/>
        </w:r>
      </w:hyperlink>
    </w:p>
    <w:p w:rsidR="001A7B4E" w:rsidRPr="00770A09" w:rsidRDefault="000D111B" w:rsidP="00770A09">
      <w:pPr>
        <w:pStyle w:val="TOC1"/>
        <w:rPr>
          <w:rFonts w:eastAsiaTheme="minorEastAsia"/>
        </w:rPr>
      </w:pPr>
      <w:hyperlink w:anchor="_Toc455597969" w:history="1">
        <w:r w:rsidR="00770A09" w:rsidRPr="00770A09">
          <w:rPr>
            <w:rStyle w:val="Hyperlink"/>
            <w:color w:val="auto"/>
            <w:u w:val="none"/>
          </w:rPr>
          <w:t>STEP</w:t>
        </w:r>
        <w:r w:rsidR="001A7B4E" w:rsidRPr="00770A09">
          <w:rPr>
            <w:rStyle w:val="Hyperlink"/>
            <w:color w:val="auto"/>
            <w:u w:val="none"/>
          </w:rPr>
          <w:t xml:space="preserve"> 3: Analysis of Practice-Based Opportunities</w:t>
        </w:r>
        <w:r w:rsidR="001A7B4E" w:rsidRPr="00770A09">
          <w:rPr>
            <w:webHidden/>
          </w:rPr>
          <w:tab/>
        </w:r>
        <w:r w:rsidR="001A7B4E" w:rsidRPr="00770A09">
          <w:rPr>
            <w:webHidden/>
          </w:rPr>
          <w:fldChar w:fldCharType="begin"/>
        </w:r>
        <w:r w:rsidR="001A7B4E" w:rsidRPr="00770A09">
          <w:rPr>
            <w:webHidden/>
          </w:rPr>
          <w:instrText xml:space="preserve"> PAGEREF _Toc455597969 \h </w:instrText>
        </w:r>
        <w:r w:rsidR="001A7B4E" w:rsidRPr="00770A09">
          <w:rPr>
            <w:webHidden/>
          </w:rPr>
        </w:r>
        <w:r w:rsidR="001A7B4E" w:rsidRPr="00770A09">
          <w:rPr>
            <w:webHidden/>
          </w:rPr>
          <w:fldChar w:fldCharType="separate"/>
        </w:r>
        <w:r w:rsidR="00EE7548" w:rsidRPr="00770A09">
          <w:rPr>
            <w:webHidden/>
          </w:rPr>
          <w:t>7</w:t>
        </w:r>
        <w:r w:rsidR="001A7B4E" w:rsidRPr="00770A09">
          <w:rPr>
            <w:webHidden/>
          </w:rPr>
          <w:fldChar w:fldCharType="end"/>
        </w:r>
      </w:hyperlink>
    </w:p>
    <w:p w:rsidR="001A7B4E" w:rsidRPr="00770A09" w:rsidRDefault="000D111B" w:rsidP="00770A09">
      <w:pPr>
        <w:pStyle w:val="TOC1"/>
        <w:rPr>
          <w:rFonts w:eastAsiaTheme="minorEastAsia"/>
        </w:rPr>
      </w:pPr>
      <w:hyperlink w:anchor="_Toc455597970" w:history="1">
        <w:r w:rsidR="00770A09" w:rsidRPr="00770A09">
          <w:rPr>
            <w:rStyle w:val="Hyperlink"/>
            <w:color w:val="auto"/>
            <w:u w:val="none"/>
          </w:rPr>
          <w:t>STEP</w:t>
        </w:r>
        <w:r w:rsidR="001A7B4E" w:rsidRPr="00770A09">
          <w:rPr>
            <w:rStyle w:val="Hyperlink"/>
            <w:color w:val="auto"/>
            <w:u w:val="none"/>
          </w:rPr>
          <w:t xml:space="preserve"> 4: Strengthening Efforts: Enhancing Practice-Based Opportunities in Coursework and Field Experiences</w:t>
        </w:r>
        <w:r w:rsidR="001A7B4E" w:rsidRPr="00770A09">
          <w:rPr>
            <w:webHidden/>
          </w:rPr>
          <w:tab/>
        </w:r>
        <w:r w:rsidR="001A7B4E" w:rsidRPr="00770A09">
          <w:rPr>
            <w:webHidden/>
          </w:rPr>
          <w:fldChar w:fldCharType="begin"/>
        </w:r>
        <w:r w:rsidR="001A7B4E" w:rsidRPr="00770A09">
          <w:rPr>
            <w:webHidden/>
          </w:rPr>
          <w:instrText xml:space="preserve"> PAGEREF _Toc455597970 \h </w:instrText>
        </w:r>
        <w:r w:rsidR="001A7B4E" w:rsidRPr="00770A09">
          <w:rPr>
            <w:webHidden/>
          </w:rPr>
        </w:r>
        <w:r w:rsidR="001A7B4E" w:rsidRPr="00770A09">
          <w:rPr>
            <w:webHidden/>
          </w:rPr>
          <w:fldChar w:fldCharType="separate"/>
        </w:r>
        <w:r w:rsidR="00EE7548" w:rsidRPr="00770A09">
          <w:rPr>
            <w:webHidden/>
          </w:rPr>
          <w:t>10</w:t>
        </w:r>
        <w:r w:rsidR="001A7B4E" w:rsidRPr="00770A09">
          <w:rPr>
            <w:webHidden/>
          </w:rPr>
          <w:fldChar w:fldCharType="end"/>
        </w:r>
      </w:hyperlink>
    </w:p>
    <w:p w:rsidR="001A7B4E" w:rsidRPr="00C67990" w:rsidRDefault="000D111B" w:rsidP="00770A09">
      <w:pPr>
        <w:pStyle w:val="TOC1"/>
        <w:rPr>
          <w:rStyle w:val="Hyperlink"/>
          <w:u w:val="none"/>
        </w:rPr>
      </w:pPr>
      <w:hyperlink w:anchor="_Toc455597971" w:history="1">
        <w:r w:rsidR="001A7B4E" w:rsidRPr="00770A09">
          <w:rPr>
            <w:rStyle w:val="Hyperlink"/>
            <w:color w:val="auto"/>
            <w:u w:val="none"/>
          </w:rPr>
          <w:t>References</w:t>
        </w:r>
        <w:r w:rsidR="001A7B4E" w:rsidRPr="00770A09">
          <w:rPr>
            <w:webHidden/>
          </w:rPr>
          <w:tab/>
        </w:r>
        <w:r w:rsidR="001A7B4E" w:rsidRPr="00770A09">
          <w:rPr>
            <w:webHidden/>
          </w:rPr>
          <w:fldChar w:fldCharType="begin"/>
        </w:r>
        <w:r w:rsidR="001A7B4E" w:rsidRPr="00770A09">
          <w:rPr>
            <w:webHidden/>
          </w:rPr>
          <w:instrText xml:space="preserve"> PAGEREF _Toc455597971 \h </w:instrText>
        </w:r>
        <w:r w:rsidR="001A7B4E" w:rsidRPr="00770A09">
          <w:rPr>
            <w:webHidden/>
          </w:rPr>
        </w:r>
        <w:r w:rsidR="001A7B4E" w:rsidRPr="00770A09">
          <w:rPr>
            <w:webHidden/>
          </w:rPr>
          <w:fldChar w:fldCharType="separate"/>
        </w:r>
        <w:r w:rsidR="00EE7548" w:rsidRPr="00770A09">
          <w:rPr>
            <w:webHidden/>
          </w:rPr>
          <w:t>13</w:t>
        </w:r>
        <w:r w:rsidR="001A7B4E" w:rsidRPr="00770A09">
          <w:rPr>
            <w:webHidden/>
          </w:rPr>
          <w:fldChar w:fldCharType="end"/>
        </w:r>
      </w:hyperlink>
    </w:p>
    <w:p w:rsidR="001A7B4E" w:rsidRPr="001A7B4E" w:rsidRDefault="001A7B4E" w:rsidP="001A7B4E">
      <w:pPr>
        <w:rPr>
          <w:rFonts w:eastAsiaTheme="minorEastAsia"/>
          <w:noProof/>
        </w:rPr>
      </w:pPr>
    </w:p>
    <w:p w:rsidR="00CA4450" w:rsidRDefault="00DD64A0" w:rsidP="00CA4450">
      <w:pPr>
        <w:pStyle w:val="TitlePage-AuthorHead"/>
        <w:spacing w:before="240"/>
        <w:ind w:left="4320"/>
        <w:rPr>
          <w:rFonts w:ascii="Arial Narrow" w:hAnsi="Arial Narrow" w:cs="Arial Narrow"/>
          <w:b/>
          <w:bCs/>
          <w:sz w:val="28"/>
          <w:szCs w:val="28"/>
        </w:rPr>
      </w:pPr>
      <w:r>
        <w:fldChar w:fldCharType="end"/>
      </w:r>
      <w:r w:rsidR="00CA4450">
        <w:rPr>
          <w:rFonts w:ascii="Arial Narrow" w:hAnsi="Arial Narrow" w:cs="Arial Narrow"/>
          <w:b/>
          <w:bCs/>
          <w:color w:val="662E6B"/>
          <w:sz w:val="28"/>
          <w:szCs w:val="28"/>
        </w:rPr>
        <w:t>Authors</w:t>
      </w:r>
    </w:p>
    <w:p w:rsidR="00AF565E" w:rsidRPr="00AF565E" w:rsidRDefault="00CA4450" w:rsidP="00AF565E">
      <w:pPr>
        <w:pStyle w:val="TitlePageAuthor"/>
      </w:pPr>
      <w:r w:rsidRPr="00AF565E">
        <w:t>Amber Benedict, PhD</w:t>
      </w:r>
    </w:p>
    <w:p w:rsidR="00CA4450" w:rsidRDefault="00CA4450" w:rsidP="00AF565E">
      <w:pPr>
        <w:pStyle w:val="TitlePageOrganization"/>
      </w:pPr>
      <w:r>
        <w:t>University of Florida</w:t>
      </w:r>
    </w:p>
    <w:p w:rsidR="00AF565E" w:rsidRDefault="00CA4450" w:rsidP="00AF565E">
      <w:pPr>
        <w:pStyle w:val="TitlePageAuthor"/>
      </w:pPr>
      <w:r>
        <w:t>Abigail Marshall Foley, M</w:t>
      </w:r>
      <w:r w:rsidR="007D1207">
        <w:t>E</w:t>
      </w:r>
      <w:r>
        <w:t>d</w:t>
      </w:r>
    </w:p>
    <w:p w:rsidR="00CA4450" w:rsidRDefault="00CA4450" w:rsidP="00AF565E">
      <w:pPr>
        <w:pStyle w:val="TitlePageOrganization"/>
      </w:pPr>
      <w:r>
        <w:t>American Institutes for Research</w:t>
      </w:r>
    </w:p>
    <w:p w:rsidR="00AF565E" w:rsidRDefault="00CA4450" w:rsidP="00AF565E">
      <w:pPr>
        <w:pStyle w:val="TitlePageAuthor"/>
      </w:pPr>
      <w:r>
        <w:rPr>
          <w:rFonts w:ascii="ITC Franklin Gothic Std MedCd" w:hAnsi="ITC Franklin Gothic Std MedCd" w:cs="ITC Franklin Gothic Std MedCd"/>
          <w:szCs w:val="20"/>
        </w:rPr>
        <w:t>L</w:t>
      </w:r>
      <w:r>
        <w:t>ynn Holdheide, M</w:t>
      </w:r>
      <w:r w:rsidR="007D1207">
        <w:t>E</w:t>
      </w:r>
      <w:r>
        <w:t>d</w:t>
      </w:r>
    </w:p>
    <w:p w:rsidR="00CA4450" w:rsidRDefault="00CA4450" w:rsidP="00AF565E">
      <w:pPr>
        <w:pStyle w:val="TitlePageOrganization"/>
      </w:pPr>
      <w:r>
        <w:t>American Institutes for Research</w:t>
      </w:r>
    </w:p>
    <w:p w:rsidR="00AF565E" w:rsidRDefault="00CA4450" w:rsidP="00AF565E">
      <w:pPr>
        <w:pStyle w:val="TitlePageAuthor"/>
      </w:pPr>
      <w:r>
        <w:t>Mary Brownell, PhD</w:t>
      </w:r>
    </w:p>
    <w:p w:rsidR="00CA4450" w:rsidRDefault="00CA4450" w:rsidP="00AF565E">
      <w:pPr>
        <w:pStyle w:val="TitlePageOrganization"/>
      </w:pPr>
      <w:r>
        <w:t>University of Florida</w:t>
      </w:r>
    </w:p>
    <w:p w:rsidR="00AF565E" w:rsidRDefault="00CA4450" w:rsidP="00AF565E">
      <w:pPr>
        <w:pStyle w:val="TitlePageAuthor"/>
      </w:pPr>
      <w:r>
        <w:t>Meg Kamman, PhD</w:t>
      </w:r>
    </w:p>
    <w:p w:rsidR="00CA4450" w:rsidRDefault="00CA4450" w:rsidP="00AF565E">
      <w:pPr>
        <w:pStyle w:val="TitlePageOrganization"/>
      </w:pPr>
      <w:r>
        <w:t>University of Florida</w:t>
      </w:r>
    </w:p>
    <w:p w:rsidR="00DD64A0" w:rsidRDefault="00DD64A0" w:rsidP="00DD64A0">
      <w:pPr>
        <w:sectPr w:rsidR="00DD64A0" w:rsidSect="00DF5097">
          <w:headerReference w:type="first" r:id="rId16"/>
          <w:footerReference w:type="first" r:id="rId17"/>
          <w:pgSz w:w="15840" w:h="12240" w:orient="landscape"/>
          <w:pgMar w:top="1080" w:right="1080" w:bottom="1440" w:left="1440" w:header="576" w:footer="576" w:gutter="0"/>
          <w:pgNumType w:fmt="lowerRoman"/>
          <w:cols w:space="720"/>
          <w:docGrid w:linePitch="360"/>
        </w:sectPr>
      </w:pPr>
    </w:p>
    <w:p w:rsidR="00313350" w:rsidRPr="007F138D" w:rsidRDefault="00313350" w:rsidP="001F15AD">
      <w:pPr>
        <w:pStyle w:val="Heading2"/>
        <w:spacing w:before="0"/>
      </w:pPr>
      <w:bookmarkStart w:id="1" w:name="_Toc455597962"/>
      <w:bookmarkStart w:id="2" w:name="_Toc419906643"/>
      <w:r w:rsidRPr="007F138D">
        <w:lastRenderedPageBreak/>
        <w:t>Overview</w:t>
      </w:r>
      <w:bookmarkEnd w:id="1"/>
    </w:p>
    <w:p w:rsidR="00313350" w:rsidRPr="007F138D" w:rsidRDefault="00313350" w:rsidP="007F138D">
      <w:pPr>
        <w:pStyle w:val="BodyText"/>
      </w:pPr>
      <w:r w:rsidRPr="007F138D">
        <w:t xml:space="preserve">This framework is a tool for teacher educators to use when considering the quality of practice-based opportunities provided to teacher candidates within individual coursework and across the breadth of a preparation program. This document is intended to supplement the 2016 Special Issues Brief titled </w:t>
      </w:r>
      <w:r w:rsidRPr="007F138D">
        <w:rPr>
          <w:rStyle w:val="BoldItal"/>
          <w:b w:val="0"/>
          <w:bCs w:val="0"/>
          <w:i w:val="0"/>
          <w:iCs w:val="0"/>
        </w:rPr>
        <w:t>Learning to Teach: Practice-Based Preparation in Teacher Education</w:t>
      </w:r>
      <w:r w:rsidRPr="007F138D">
        <w:t xml:space="preserve">, to which a framework is offered to identify necessary action steps for crafting high-quality, practice-based preparation in educator preparation coursework and field experience. </w:t>
      </w:r>
    </w:p>
    <w:p w:rsidR="00313350" w:rsidRDefault="00313350" w:rsidP="007F138D">
      <w:pPr>
        <w:pStyle w:val="Heading2"/>
      </w:pPr>
      <w:bookmarkStart w:id="3" w:name="_Toc455597963"/>
      <w:r>
        <w:t>Contents of This Guide</w:t>
      </w:r>
      <w:bookmarkEnd w:id="3"/>
    </w:p>
    <w:p w:rsidR="00313350" w:rsidRDefault="00313350" w:rsidP="007F138D">
      <w:pPr>
        <w:pStyle w:val="BodyText"/>
      </w:pPr>
      <w:r>
        <w:t xml:space="preserve">This document is designed to provide facilitation guidance to teacher educators engaged in deliberate reflection and planning related to the structuring of effective, practice-based opportunities for candidates throughout coursework and field experiences. </w:t>
      </w:r>
    </w:p>
    <w:p w:rsidR="00313350" w:rsidRDefault="00313350" w:rsidP="007F138D">
      <w:pPr>
        <w:pStyle w:val="Heading2"/>
      </w:pPr>
      <w:bookmarkStart w:id="4" w:name="_Toc455597964"/>
      <w:r>
        <w:t>Audience</w:t>
      </w:r>
      <w:bookmarkEnd w:id="4"/>
    </w:p>
    <w:p w:rsidR="00313350" w:rsidRDefault="00313350" w:rsidP="00292380">
      <w:pPr>
        <w:pStyle w:val="BodyText"/>
      </w:pPr>
      <w:r>
        <w:t xml:space="preserve">This framework and facilitation guide is intended for use by educator preparation program (EPP) faculty, including teacher educators, collaborating P–12 partners (e.g., principals, cooperating teachers), and university supervisors. The information and considerations presented will be </w:t>
      </w:r>
      <w:r>
        <w:lastRenderedPageBreak/>
        <w:t>especially useful for EPP faculty engaged in transforming EPPs and course syllabi.</w:t>
      </w:r>
    </w:p>
    <w:p w:rsidR="00313350" w:rsidRDefault="00313350" w:rsidP="007F138D">
      <w:pPr>
        <w:pStyle w:val="Heading2"/>
      </w:pPr>
      <w:bookmarkStart w:id="5" w:name="_Toc455597965"/>
      <w:r>
        <w:t>Purpose</w:t>
      </w:r>
      <w:bookmarkEnd w:id="5"/>
    </w:p>
    <w:p w:rsidR="00313350" w:rsidRDefault="00313350" w:rsidP="007F138D">
      <w:pPr>
        <w:pStyle w:val="BodyText"/>
      </w:pPr>
      <w:r>
        <w:t xml:space="preserve">Candidates are more likely to be effective and to stay in the profession when their preparation experiences are connected to classroom practice (Boyd, Lankford, Loeb, &amp; Wyckoff, 2009; Ronfeldt, 2012). Therefore, there has been considerable pressure and effort to strengthen candidate clinical experiences so that they happen early and often within candidates’ preparation. This framework is designed to guide teacher educators in integrating practice-based opportunities—inclusive of the essential features—into existing coursework and field experiences. </w:t>
      </w:r>
    </w:p>
    <w:p w:rsidR="00313350" w:rsidRDefault="00313350" w:rsidP="007F138D">
      <w:pPr>
        <w:pStyle w:val="Heading2"/>
      </w:pPr>
      <w:bookmarkStart w:id="6" w:name="_Toc455597966"/>
      <w:r>
        <w:t>Facilitation Instructions</w:t>
      </w:r>
      <w:bookmarkEnd w:id="6"/>
    </w:p>
    <w:p w:rsidR="00313350" w:rsidRDefault="00313350" w:rsidP="007F138D">
      <w:pPr>
        <w:pStyle w:val="BodyText"/>
      </w:pPr>
      <w:r>
        <w:t xml:space="preserve">The Collaboration for Effective Educator Development, Accountability, and Reform (CEEDAR) offers a wide variety of free, easily accessible online resources to support EPPs in strengthening programs such that candidates are learner ready upon entry into the field. Used comprehensively, these resources can help program faculty target and focus their efforts so that teachers are more adequately prepared for the realities of the classroom. </w:t>
      </w:r>
    </w:p>
    <w:p w:rsidR="00313350" w:rsidRDefault="00313350" w:rsidP="007F138D">
      <w:pPr>
        <w:pStyle w:val="BodyText"/>
      </w:pPr>
      <w:r>
        <w:lastRenderedPageBreak/>
        <w:t>T</w:t>
      </w:r>
      <w:r w:rsidRPr="001F15AD">
        <w:t xml:space="preserve">his document can be used to facilitate a decision-making process among faculty around improving the quality of coursework and field experiences that students encounter during their preparation programs. The CEEDAR Center has identified critical resources and steps for engaging in this process. The intent is to direct faculty to these resources and provide a systematic mechanism, grounded in research, for analyzing and improving existing efforts. Used in its entirety, this framework can support EPP faculty in reflecting, analyzing, and improving upon the overall quality of the deliberate, practice-based opportunities being offered to teacher candidates throughout their coursework and field experiences. </w:t>
      </w:r>
    </w:p>
    <w:p w:rsidR="00313350" w:rsidRPr="007F138D" w:rsidRDefault="00770A09" w:rsidP="007F138D">
      <w:pPr>
        <w:pStyle w:val="Heading3"/>
      </w:pPr>
      <w:bookmarkStart w:id="7" w:name="_Toc455597967"/>
      <w:r w:rsidRPr="007F138D">
        <w:rPr>
          <w:rStyle w:val="STEP"/>
          <w:caps w:val="0"/>
          <w:color w:val="773C75" w:themeColor="accent4"/>
        </w:rPr>
        <w:t>STEP</w:t>
      </w:r>
      <w:r w:rsidR="00313350" w:rsidRPr="007F138D">
        <w:rPr>
          <w:rStyle w:val="STEP"/>
          <w:caps w:val="0"/>
          <w:color w:val="773C75" w:themeColor="accent4"/>
        </w:rPr>
        <w:t xml:space="preserve"> 1: </w:t>
      </w:r>
      <w:r w:rsidR="00313350" w:rsidRPr="007F138D">
        <w:t>Identifying Critical Content and Pedagogy</w:t>
      </w:r>
      <w:bookmarkEnd w:id="7"/>
      <w:r w:rsidR="00313350" w:rsidRPr="007F138D">
        <w:t xml:space="preserve"> </w:t>
      </w:r>
    </w:p>
    <w:p w:rsidR="00313350" w:rsidRDefault="00313350" w:rsidP="007F138D">
      <w:pPr>
        <w:pStyle w:val="BodyText"/>
      </w:pPr>
      <w:r>
        <w:t xml:space="preserve">Deliberate practice is a highly structured activity designed with a specific purpose in mind whereby candidates are offered experiences within both coursework and field experiences that are explicitly aligned to the teacher standards—what all teachers should know and be able to do. This means that skills learned in classrooms—for example, evidence-based instructional practice—are then practiced. Therefore, an essential and initial step toward strengthening and/or developing practice-based opportunities within preparation coursework and field experiences is </w:t>
      </w:r>
      <w:r>
        <w:lastRenderedPageBreak/>
        <w:t xml:space="preserve">to identify the critical content and pedagogy that teachers need to be learner ready from day one. </w:t>
      </w:r>
    </w:p>
    <w:p w:rsidR="00313350" w:rsidRDefault="00313350" w:rsidP="00292380">
      <w:pPr>
        <w:pStyle w:val="BodyText"/>
      </w:pPr>
      <w:r>
        <w:t>Identifying and establishing consistent expectations of instructional practices lies at the core of creating high-quality, deliberate, practice-based opportunities. Of course, these instructional practices will, to some degree, vary according to academic content and student populations; however, the selection of essential knowledge and practices that are supported by evidence and address identified district needs creates a solid foundation for what to teach within coursework and what opportunities that candidates should be provided to practice.</w:t>
      </w:r>
    </w:p>
    <w:p w:rsidR="00313350" w:rsidRDefault="00313350" w:rsidP="00292380">
      <w:pPr>
        <w:pStyle w:val="BodyText"/>
      </w:pPr>
      <w:r>
        <w:t xml:space="preserve">There are a number of sources that identify evidence-based practices, all of which are supported by varying degrees of evidence and are designed for teaching specific academic content to diverse student populations. </w:t>
      </w:r>
      <w:r>
        <w:rPr>
          <w:rStyle w:val="BoldItal"/>
        </w:rPr>
        <w:t>Evidence-based practices</w:t>
      </w:r>
      <w:r>
        <w:rPr>
          <w:rStyle w:val="Bold"/>
        </w:rPr>
        <w:t xml:space="preserve"> </w:t>
      </w:r>
      <w:r>
        <w:t xml:space="preserve">are content specific, developmentally appropriate, and subgroup specific. The CEEDAR Center has developed literacy synthesis and corresponding innovation configurations (ICs), which, combined, summarize the research base and the essential components within the evidence-based practice. CEEDAR has completed these across 15 areas that are designed to promote the implementation of evidence-based instructional practices in teacher preparation activities. Furthermore, the ICs are designed to evaluate current teacher preparation and professional development by </w:t>
      </w:r>
      <w:r>
        <w:lastRenderedPageBreak/>
        <w:t xml:space="preserve">determining the extent to which evidence-based practices are taught, observed, and applied within teacher preparation coursework and field experiences and in professional learning. These ICs can be accessed free of charge at </w:t>
      </w:r>
      <w:hyperlink r:id="rId18" w:history="1">
        <w:r w:rsidR="004A39D6" w:rsidRPr="003C6CF3">
          <w:rPr>
            <w:rStyle w:val="Hyperlink"/>
          </w:rPr>
          <w:t>http://ceedar.education.ufl.edu/tools/innovation-configurations/</w:t>
        </w:r>
      </w:hyperlink>
      <w:r>
        <w:t>.</w:t>
      </w:r>
    </w:p>
    <w:p w:rsidR="00313350" w:rsidRDefault="00313350" w:rsidP="00292380">
      <w:pPr>
        <w:pStyle w:val="BodyText"/>
      </w:pPr>
      <w:r>
        <w:t xml:space="preserve">Although the ICs are designed primarily to determine the extent to which preparation coursework and field experiences ensure that candidates are able to apply the practices with fidelity, the CEEDAR Center has also created a repository of resources that can be used or adapted when designing coursework, field experiences, or professional learning events. These resources, called </w:t>
      </w:r>
      <w:r>
        <w:rPr>
          <w:rStyle w:val="ital"/>
        </w:rPr>
        <w:t>Course Enhancement Modules</w:t>
      </w:r>
      <w:r>
        <w:t xml:space="preserve"> (</w:t>
      </w:r>
      <w:r>
        <w:rPr>
          <w:rStyle w:val="ital"/>
        </w:rPr>
        <w:t>CEMs</w:t>
      </w:r>
      <w:r>
        <w:t xml:space="preserve">), are directly aligned to the evidence-based practices and essential components within the ICs and are useful tools to guide faculty and professional development providers in designing strong courses and field experiences. These resources can be accessed free of charge at </w:t>
      </w:r>
      <w:hyperlink r:id="rId19" w:history="1">
        <w:r w:rsidR="004A39D6" w:rsidRPr="003C6CF3">
          <w:rPr>
            <w:rStyle w:val="Hyperlink"/>
          </w:rPr>
          <w:t>http://ceedar.education.ufl.edu/cems/</w:t>
        </w:r>
      </w:hyperlink>
      <w:r>
        <w:t>.</w:t>
      </w:r>
    </w:p>
    <w:p w:rsidR="00313350" w:rsidRDefault="00313350" w:rsidP="00292380">
      <w:pPr>
        <w:pStyle w:val="BodyText"/>
      </w:pPr>
      <w:r>
        <w:t>Following are additional resources for identifying evidence-based practices, which can be used in this step of the process.</w:t>
      </w:r>
    </w:p>
    <w:p w:rsidR="00313350" w:rsidRDefault="00313350" w:rsidP="00EE7548">
      <w:pPr>
        <w:pStyle w:val="Bullet1"/>
      </w:pPr>
      <w:r>
        <w:t xml:space="preserve">What Works Clearinghouse: </w:t>
      </w:r>
      <w:hyperlink r:id="rId20" w:history="1">
        <w:r w:rsidRPr="00326B45">
          <w:rPr>
            <w:rStyle w:val="Hyperlink"/>
          </w:rPr>
          <w:t>http://ies.ed.gov/ncee/wwc/</w:t>
        </w:r>
      </w:hyperlink>
    </w:p>
    <w:p w:rsidR="00313350" w:rsidRDefault="00313350" w:rsidP="00EE7548">
      <w:pPr>
        <w:pStyle w:val="Bullet1"/>
      </w:pPr>
      <w:r>
        <w:t xml:space="preserve">Institute of Education Sciences (IES) Practice Guides: </w:t>
      </w:r>
      <w:hyperlink r:id="rId21" w:history="1">
        <w:r w:rsidRPr="00326B45">
          <w:rPr>
            <w:rStyle w:val="Hyperlink"/>
          </w:rPr>
          <w:t>http://ies.ed.gov/</w:t>
        </w:r>
      </w:hyperlink>
      <w:r>
        <w:t xml:space="preserve"> </w:t>
      </w:r>
    </w:p>
    <w:tbl>
      <w:tblPr>
        <w:tblStyle w:val="GTLCallOutTable"/>
        <w:tblW w:w="0" w:type="dxa"/>
        <w:jc w:val="center"/>
        <w:tblBorders>
          <w:bottom w:val="single" w:sz="12" w:space="0" w:color="773C75" w:themeColor="accent4"/>
        </w:tblBorders>
        <w:tblLook w:val="04A0" w:firstRow="1" w:lastRow="0" w:firstColumn="1" w:lastColumn="0" w:noHBand="0" w:noVBand="1"/>
      </w:tblPr>
      <w:tblGrid>
        <w:gridCol w:w="3775"/>
      </w:tblGrid>
      <w:tr w:rsidR="00326B45" w:rsidTr="00B70E4F">
        <w:trPr>
          <w:jc w:val="center"/>
        </w:trPr>
        <w:tc>
          <w:tcPr>
            <w:tcW w:w="3775" w:type="dxa"/>
          </w:tcPr>
          <w:p w:rsidR="00326B45" w:rsidRPr="00326B45" w:rsidRDefault="00326B45" w:rsidP="00060AF7">
            <w:pPr>
              <w:pStyle w:val="CalloutTitleCallouts"/>
            </w:pPr>
            <w:r w:rsidRPr="00326B45">
              <w:lastRenderedPageBreak/>
              <w:t>Content Innovation Configuration</w:t>
            </w:r>
          </w:p>
          <w:p w:rsidR="00326B45" w:rsidRPr="00060AF7" w:rsidRDefault="00326B45" w:rsidP="00060AF7">
            <w:pPr>
              <w:pStyle w:val="CalloutBulletsCallouts"/>
            </w:pPr>
            <w:r w:rsidRPr="00060AF7">
              <w:t>Scientifically Based Reading</w:t>
            </w:r>
          </w:p>
          <w:p w:rsidR="00326B45" w:rsidRPr="00060AF7" w:rsidRDefault="00326B45" w:rsidP="00060AF7">
            <w:pPr>
              <w:pStyle w:val="CalloutBulletsCallouts"/>
            </w:pPr>
            <w:r w:rsidRPr="00060AF7">
              <w:t>Classroom Organization and Behavior Management</w:t>
            </w:r>
          </w:p>
          <w:p w:rsidR="00326B45" w:rsidRPr="00060AF7" w:rsidRDefault="00326B45" w:rsidP="00060AF7">
            <w:pPr>
              <w:pStyle w:val="CalloutBulletsCallouts"/>
            </w:pPr>
            <w:r w:rsidRPr="00060AF7">
              <w:t>Evidence-Based Writing Instruction</w:t>
            </w:r>
          </w:p>
          <w:p w:rsidR="00326B45" w:rsidRPr="00060AF7" w:rsidRDefault="00326B45" w:rsidP="00060AF7">
            <w:pPr>
              <w:pStyle w:val="CalloutBulletsCallouts"/>
            </w:pPr>
            <w:r w:rsidRPr="00060AF7">
              <w:t>Evidence-Based Math Instruction</w:t>
            </w:r>
          </w:p>
          <w:p w:rsidR="00326B45" w:rsidRPr="00060AF7" w:rsidRDefault="00326B45" w:rsidP="00060AF7">
            <w:pPr>
              <w:pStyle w:val="CalloutBulletsCallouts"/>
            </w:pPr>
            <w:r w:rsidRPr="00060AF7">
              <w:t>Universal Design for Learning</w:t>
            </w:r>
          </w:p>
          <w:p w:rsidR="00326B45" w:rsidRPr="00060AF7" w:rsidRDefault="00326B45" w:rsidP="00060AF7">
            <w:pPr>
              <w:pStyle w:val="CalloutBulletsCallouts"/>
            </w:pPr>
            <w:r w:rsidRPr="00060AF7">
              <w:t>Leadership</w:t>
            </w:r>
          </w:p>
          <w:p w:rsidR="00326B45" w:rsidRPr="00060AF7" w:rsidRDefault="00326B45" w:rsidP="00060AF7">
            <w:pPr>
              <w:pStyle w:val="CalloutBulletsCallouts"/>
            </w:pPr>
            <w:r w:rsidRPr="00060AF7">
              <w:t>Technology</w:t>
            </w:r>
          </w:p>
          <w:p w:rsidR="00326B45" w:rsidRPr="00060AF7" w:rsidRDefault="00326B45" w:rsidP="00060AF7">
            <w:pPr>
              <w:pStyle w:val="CalloutBulletsCallouts"/>
            </w:pPr>
            <w:r w:rsidRPr="00060AF7">
              <w:t>Inclusive Service</w:t>
            </w:r>
          </w:p>
          <w:p w:rsidR="00326B45" w:rsidRPr="00060AF7" w:rsidRDefault="00326B45" w:rsidP="00060AF7">
            <w:pPr>
              <w:pStyle w:val="CalloutBulletsCallouts"/>
            </w:pPr>
            <w:r w:rsidRPr="00060AF7">
              <w:t>Significant Disabilities</w:t>
            </w:r>
          </w:p>
          <w:p w:rsidR="00326B45" w:rsidRPr="00060AF7" w:rsidRDefault="00326B45" w:rsidP="00060AF7">
            <w:pPr>
              <w:pStyle w:val="CalloutBulletsCallouts"/>
            </w:pPr>
            <w:r w:rsidRPr="00060AF7">
              <w:t>Sensory Impairments</w:t>
            </w:r>
          </w:p>
          <w:p w:rsidR="00326B45" w:rsidRPr="00060AF7" w:rsidRDefault="00326B45" w:rsidP="00060AF7">
            <w:pPr>
              <w:pStyle w:val="CalloutBulletsCallouts"/>
            </w:pPr>
            <w:r w:rsidRPr="00060AF7">
              <w:t>Culturally Responsive Instruction</w:t>
            </w:r>
          </w:p>
          <w:p w:rsidR="00326B45" w:rsidRPr="00060AF7" w:rsidRDefault="00326B45" w:rsidP="00060AF7">
            <w:pPr>
              <w:pStyle w:val="CalloutBulletsCallouts"/>
            </w:pPr>
            <w:r w:rsidRPr="00060AF7">
              <w:t>Secondary Transition</w:t>
            </w:r>
          </w:p>
          <w:p w:rsidR="00326B45" w:rsidRDefault="00326B45" w:rsidP="00060AF7">
            <w:pPr>
              <w:pStyle w:val="CalloutBulletsCallouts"/>
            </w:pPr>
            <w:r w:rsidRPr="00060AF7">
              <w:t>Linking Assessment and Instruction</w:t>
            </w:r>
          </w:p>
        </w:tc>
      </w:tr>
    </w:tbl>
    <w:p w:rsidR="00313350" w:rsidRDefault="00313350" w:rsidP="00EE7548">
      <w:pPr>
        <w:pStyle w:val="Bullet1"/>
      </w:pPr>
      <w:r>
        <w:t xml:space="preserve">Best Evidence Encyclopedia: </w:t>
      </w:r>
      <w:hyperlink r:id="rId22" w:history="1">
        <w:r w:rsidRPr="00326B45">
          <w:rPr>
            <w:rStyle w:val="Hyperlink"/>
          </w:rPr>
          <w:t>http://www.bestevidence.org/</w:t>
        </w:r>
      </w:hyperlink>
    </w:p>
    <w:p w:rsidR="00313350" w:rsidRDefault="00313350" w:rsidP="00EE7548">
      <w:pPr>
        <w:pStyle w:val="Bullet1"/>
      </w:pPr>
      <w:r>
        <w:t xml:space="preserve">The IRIS Center, Evidence-Based Practice Summaries: </w:t>
      </w:r>
      <w:hyperlink r:id="rId23" w:history="1">
        <w:r w:rsidRPr="00326B45">
          <w:rPr>
            <w:rStyle w:val="Hyperlink"/>
          </w:rPr>
          <w:t>http://iris.peabody.vanderbilt.edu/ebp_summaries/</w:t>
        </w:r>
      </w:hyperlink>
    </w:p>
    <w:p w:rsidR="00313350" w:rsidRDefault="00313350" w:rsidP="00EE7548">
      <w:pPr>
        <w:pStyle w:val="Bullet1"/>
      </w:pPr>
      <w:r>
        <w:t xml:space="preserve">University of Missouri Evidence-Based Intervention Network: </w:t>
      </w:r>
      <w:hyperlink r:id="rId24" w:history="1">
        <w:r w:rsidRPr="00191C18">
          <w:rPr>
            <w:rStyle w:val="Hyperlink"/>
          </w:rPr>
          <w:t>http://ebi.missouri.edu/</w:t>
        </w:r>
      </w:hyperlink>
    </w:p>
    <w:p w:rsidR="00313350" w:rsidRDefault="00313350" w:rsidP="00313350">
      <w:pPr>
        <w:pStyle w:val="Paragraph-StepIndented"/>
      </w:pPr>
      <w:r>
        <w:t xml:space="preserve">Finally, there are practices—often described as </w:t>
      </w:r>
      <w:r>
        <w:rPr>
          <w:rStyle w:val="BoldItal"/>
        </w:rPr>
        <w:t>high-leverage practices</w:t>
      </w:r>
      <w:r>
        <w:t xml:space="preserve">—that are also grounded in evidence and are designed such that the capacity to implement with fidelity is </w:t>
      </w:r>
      <w:r>
        <w:lastRenderedPageBreak/>
        <w:t xml:space="preserve">developed in ALL teachers, regardless of content, grade, or student population taught. Frequently, high-leverage practices are used to teach evidence-based practices. Examples of high-leverage practices are available at TeachingWorks: </w:t>
      </w:r>
      <w:hyperlink r:id="rId25" w:history="1">
        <w:r w:rsidRPr="00326B45">
          <w:rPr>
            <w:rStyle w:val="Hyperlink"/>
          </w:rPr>
          <w:t>http://www.teachingworks.org/work-of-teaching/high-leverage-practices</w:t>
        </w:r>
      </w:hyperlink>
      <w:r>
        <w:t xml:space="preserve">. </w:t>
      </w:r>
    </w:p>
    <w:p w:rsidR="00313350" w:rsidRDefault="00313350" w:rsidP="00313350">
      <w:pPr>
        <w:pStyle w:val="Paragraph-StepIndented"/>
      </w:pPr>
      <w:r>
        <w:t xml:space="preserve">High-quality, practice-based opportunities can be developed and implemented only when common expectations of instructional practices are shared across programs and faculty and from preservice to inservice. Identifying common expectations requires inclusive and </w:t>
      </w:r>
      <w:r>
        <w:lastRenderedPageBreak/>
        <w:t xml:space="preserve">thoughtful dialogue, paired with strong facilitation, to ensure that a consensus on instructional practice expectations is reached. Without this consensus, high-quality, practice-based expectations defined in the brief and within this facilitation rubric cannot be achieved. </w:t>
      </w:r>
    </w:p>
    <w:p w:rsidR="00ED31D1" w:rsidRDefault="00313350" w:rsidP="00313350">
      <w:pPr>
        <w:pStyle w:val="Paragraph-StepIndented"/>
        <w:sectPr w:rsidR="00ED31D1" w:rsidSect="00292380">
          <w:headerReference w:type="default" r:id="rId26"/>
          <w:footerReference w:type="default" r:id="rId27"/>
          <w:headerReference w:type="first" r:id="rId28"/>
          <w:footerReference w:type="first" r:id="rId29"/>
          <w:pgSz w:w="15840" w:h="12240" w:orient="landscape"/>
          <w:pgMar w:top="1080" w:right="1080" w:bottom="1440" w:left="1440" w:header="720" w:footer="720" w:gutter="0"/>
          <w:pgNumType w:start="1"/>
          <w:cols w:num="3" w:space="720"/>
          <w:docGrid w:linePitch="360"/>
        </w:sectPr>
      </w:pPr>
      <w:r>
        <w:t xml:space="preserve">CEEDAR, in partnerships with states and EPPs, has developed facilitation processes to reach common consensuses in instructional practice expectations among stakeholders. Requests for this type of support may be made to http://www.ceedar.org. However, prior to engaging in the subsequent steps outlined in </w:t>
      </w:r>
      <w:r>
        <w:lastRenderedPageBreak/>
        <w:t xml:space="preserve">this framework, program faculty should identify the practices (evidence-based and/or high-leverage) that are aligned to local district needs and integral to candidate success. In the process of identifying these practices, candidates require frequent, repetitive, </w:t>
      </w:r>
      <w:r>
        <w:rPr>
          <w:w w:val="96"/>
        </w:rPr>
        <w:t xml:space="preserve">and scaffolded, practice-based opportunities </w:t>
      </w:r>
      <w:r>
        <w:t>in which the instructional practices are infused across all coursework and field experiences to the extent appropriate. Table 1 can be used to identify the instructional practices common across all programs.</w:t>
      </w:r>
    </w:p>
    <w:p w:rsidR="00ED31D1" w:rsidRPr="00ED31D1" w:rsidRDefault="00ED31D1" w:rsidP="00DF5097">
      <w:pPr>
        <w:pStyle w:val="TableTitle"/>
      </w:pPr>
      <w:r w:rsidRPr="00ED31D1">
        <w:lastRenderedPageBreak/>
        <w:t>Table 1: Evidence-Based/High-Leverage Instructional Practices</w:t>
      </w:r>
    </w:p>
    <w:tbl>
      <w:tblPr>
        <w:tblStyle w:val="GTLTable1"/>
        <w:tblW w:w="5000" w:type="pct"/>
        <w:tblLayout w:type="fixed"/>
        <w:tblLook w:val="0020" w:firstRow="1" w:lastRow="0" w:firstColumn="0" w:lastColumn="0" w:noHBand="0" w:noVBand="0"/>
      </w:tblPr>
      <w:tblGrid>
        <w:gridCol w:w="4513"/>
        <w:gridCol w:w="4511"/>
        <w:gridCol w:w="4512"/>
      </w:tblGrid>
      <w:tr w:rsidR="00ED31D1" w:rsidRPr="00ED31D1" w:rsidTr="002523B3">
        <w:trPr>
          <w:cnfStyle w:val="100000000000" w:firstRow="1" w:lastRow="0" w:firstColumn="0" w:lastColumn="0" w:oddVBand="0" w:evenVBand="0" w:oddHBand="0" w:evenHBand="0" w:firstRowFirstColumn="0" w:firstRowLastColumn="0" w:lastRowFirstColumn="0" w:lastRowLastColumn="0"/>
          <w:trHeight w:val="48"/>
        </w:trPr>
        <w:tc>
          <w:tcPr>
            <w:tcW w:w="4197" w:type="dxa"/>
          </w:tcPr>
          <w:p w:rsidR="00ED31D1" w:rsidRPr="00ED31D1" w:rsidRDefault="00ED31D1" w:rsidP="00ED31D1">
            <w:pPr>
              <w:pStyle w:val="TableColumnHeadLeft"/>
              <w:rPr>
                <w:rFonts w:eastAsiaTheme="minorEastAsia"/>
              </w:rPr>
            </w:pPr>
            <w:r w:rsidRPr="00ED31D1">
              <w:rPr>
                <w:rFonts w:eastAsiaTheme="minorEastAsia"/>
              </w:rPr>
              <w:t>Program</w:t>
            </w:r>
          </w:p>
        </w:tc>
        <w:tc>
          <w:tcPr>
            <w:tcW w:w="4196" w:type="dxa"/>
          </w:tcPr>
          <w:p w:rsidR="00ED31D1" w:rsidRPr="00ED31D1" w:rsidRDefault="00ED31D1" w:rsidP="00ED31D1">
            <w:pPr>
              <w:pStyle w:val="TableColumnHeadLeft"/>
              <w:rPr>
                <w:rFonts w:eastAsiaTheme="minorEastAsia"/>
              </w:rPr>
            </w:pPr>
            <w:r w:rsidRPr="00ED31D1">
              <w:rPr>
                <w:rFonts w:eastAsiaTheme="minorEastAsia"/>
              </w:rPr>
              <w:t>Evidence-Based Practices</w:t>
            </w:r>
          </w:p>
        </w:tc>
        <w:tc>
          <w:tcPr>
            <w:tcW w:w="4197" w:type="dxa"/>
          </w:tcPr>
          <w:p w:rsidR="00ED31D1" w:rsidRPr="00ED31D1" w:rsidRDefault="00ED31D1" w:rsidP="00ED31D1">
            <w:pPr>
              <w:pStyle w:val="TableColumnHeadLeft"/>
              <w:rPr>
                <w:rFonts w:eastAsiaTheme="minorEastAsia"/>
              </w:rPr>
            </w:pPr>
            <w:r w:rsidRPr="00ED31D1">
              <w:rPr>
                <w:rFonts w:eastAsiaTheme="minorEastAsia"/>
              </w:rPr>
              <w:t>High-Leverage Practices</w:t>
            </w:r>
          </w:p>
        </w:tc>
      </w:tr>
      <w:tr w:rsidR="00ED31D1" w:rsidRPr="00ED31D1" w:rsidTr="002523B3">
        <w:trPr>
          <w:trHeight w:val="1291"/>
        </w:trPr>
        <w:tc>
          <w:tcPr>
            <w:tcW w:w="4197" w:type="dxa"/>
          </w:tcPr>
          <w:p w:rsidR="00ED31D1" w:rsidRPr="00ED31D1" w:rsidRDefault="00ED31D1" w:rsidP="00DF5097">
            <w:pPr>
              <w:pStyle w:val="TableText"/>
            </w:pPr>
          </w:p>
        </w:tc>
        <w:tc>
          <w:tcPr>
            <w:tcW w:w="4196" w:type="dxa"/>
          </w:tcPr>
          <w:p w:rsidR="00ED31D1" w:rsidRPr="00ED31D1" w:rsidRDefault="00ED31D1" w:rsidP="00DF5097">
            <w:pPr>
              <w:pStyle w:val="TableText"/>
            </w:pPr>
          </w:p>
        </w:tc>
        <w:tc>
          <w:tcPr>
            <w:tcW w:w="4197" w:type="dxa"/>
          </w:tcPr>
          <w:p w:rsidR="00ED31D1" w:rsidRPr="00ED31D1" w:rsidRDefault="00ED31D1" w:rsidP="00DF5097">
            <w:pPr>
              <w:pStyle w:val="TableText"/>
            </w:pPr>
          </w:p>
        </w:tc>
      </w:tr>
      <w:tr w:rsidR="00ED31D1" w:rsidRPr="00ED31D1" w:rsidTr="002523B3">
        <w:trPr>
          <w:trHeight w:val="1291"/>
        </w:trPr>
        <w:tc>
          <w:tcPr>
            <w:tcW w:w="4197" w:type="dxa"/>
          </w:tcPr>
          <w:p w:rsidR="00ED31D1" w:rsidRPr="00ED31D1" w:rsidRDefault="00ED31D1" w:rsidP="00DF5097">
            <w:pPr>
              <w:pStyle w:val="TableText"/>
            </w:pPr>
          </w:p>
        </w:tc>
        <w:tc>
          <w:tcPr>
            <w:tcW w:w="4196" w:type="dxa"/>
          </w:tcPr>
          <w:p w:rsidR="00ED31D1" w:rsidRPr="00ED31D1" w:rsidRDefault="00ED31D1" w:rsidP="00DF5097">
            <w:pPr>
              <w:pStyle w:val="TableText"/>
            </w:pPr>
          </w:p>
        </w:tc>
        <w:tc>
          <w:tcPr>
            <w:tcW w:w="4197" w:type="dxa"/>
          </w:tcPr>
          <w:p w:rsidR="00ED31D1" w:rsidRPr="00ED31D1" w:rsidRDefault="00ED31D1" w:rsidP="00DF5097">
            <w:pPr>
              <w:pStyle w:val="TableText"/>
            </w:pPr>
          </w:p>
        </w:tc>
      </w:tr>
      <w:tr w:rsidR="00ED31D1" w:rsidRPr="00ED31D1" w:rsidTr="002523B3">
        <w:trPr>
          <w:trHeight w:val="1291"/>
        </w:trPr>
        <w:tc>
          <w:tcPr>
            <w:tcW w:w="4197" w:type="dxa"/>
          </w:tcPr>
          <w:p w:rsidR="00ED31D1" w:rsidRPr="00ED31D1" w:rsidRDefault="00ED31D1" w:rsidP="00DF5097">
            <w:pPr>
              <w:pStyle w:val="TableText"/>
            </w:pPr>
          </w:p>
        </w:tc>
        <w:tc>
          <w:tcPr>
            <w:tcW w:w="4196" w:type="dxa"/>
          </w:tcPr>
          <w:p w:rsidR="00ED31D1" w:rsidRPr="00ED31D1" w:rsidRDefault="00ED31D1" w:rsidP="00DF5097">
            <w:pPr>
              <w:pStyle w:val="TableText"/>
            </w:pPr>
          </w:p>
        </w:tc>
        <w:tc>
          <w:tcPr>
            <w:tcW w:w="4197" w:type="dxa"/>
          </w:tcPr>
          <w:p w:rsidR="00ED31D1" w:rsidRPr="00ED31D1" w:rsidRDefault="00ED31D1" w:rsidP="00DF5097">
            <w:pPr>
              <w:pStyle w:val="TableText"/>
            </w:pPr>
          </w:p>
        </w:tc>
      </w:tr>
    </w:tbl>
    <w:p w:rsidR="00313350" w:rsidRDefault="00313350" w:rsidP="00313350">
      <w:pPr>
        <w:pStyle w:val="Paragraph-StepIndented"/>
      </w:pPr>
    </w:p>
    <w:p w:rsidR="00A71F51" w:rsidRDefault="00A71F51" w:rsidP="007F138D">
      <w:pPr>
        <w:pStyle w:val="Heading2"/>
        <w:sectPr w:rsidR="00A71F51" w:rsidSect="00ED31D1">
          <w:type w:val="continuous"/>
          <w:pgSz w:w="15840" w:h="12240" w:orient="landscape"/>
          <w:pgMar w:top="1080" w:right="1080" w:bottom="1440" w:left="1440" w:header="720" w:footer="720" w:gutter="0"/>
          <w:pgNumType w:start="1"/>
          <w:cols w:space="720"/>
          <w:docGrid w:linePitch="360"/>
        </w:sectPr>
      </w:pPr>
    </w:p>
    <w:p w:rsidR="005A3FAD" w:rsidRPr="005A3FAD" w:rsidRDefault="005A3FAD" w:rsidP="005A3FAD">
      <w:pPr>
        <w:pStyle w:val="Heading3"/>
        <w:spacing w:before="0"/>
      </w:pPr>
      <w:bookmarkStart w:id="8" w:name="_Toc455597968"/>
      <w:bookmarkEnd w:id="2"/>
      <w:r w:rsidRPr="005A3FAD">
        <w:lastRenderedPageBreak/>
        <w:t>Step 2: Assessment and Consideration of Program’s Existing and Desired Approach to Creating High-Quality, Practice-Based Opportunities</w:t>
      </w:r>
      <w:bookmarkEnd w:id="8"/>
      <w:r w:rsidRPr="005A3FAD">
        <w:t xml:space="preserve"> </w:t>
      </w:r>
    </w:p>
    <w:p w:rsidR="005A3FAD" w:rsidRPr="005A3FAD" w:rsidRDefault="005A3FAD" w:rsidP="005A3FAD">
      <w:pPr>
        <w:pStyle w:val="BodyText"/>
      </w:pPr>
      <w:r w:rsidRPr="005A3FAD">
        <w:t>Once the critical content and pedagogy that teachers need to know have been identified, the next step in the process involves assessing and considering the program’s existing and desired approach to creating high-quality, practice-based opportunities. This goes beyond individual faculty assessment and moves into an entire program level because modification in one or two courses, and/or by one or two faculty, will not reach the level of desired—and needed—coordination to acquire the focus, coherence, and duration necessary to ensure ample, practice-based opportunities.</w:t>
      </w:r>
    </w:p>
    <w:p w:rsidR="005A3FAD" w:rsidRPr="005A3FAD" w:rsidRDefault="005A3FAD" w:rsidP="005A3FAD">
      <w:pPr>
        <w:pStyle w:val="BodyText"/>
      </w:pPr>
      <w:r w:rsidRPr="005A3FAD">
        <w:t>As indicated in the brief, three overarching features are fundamental to program design and to solidify the effectiveness of practice-based opportunities:</w:t>
      </w:r>
    </w:p>
    <w:p w:rsidR="005A3FAD" w:rsidRPr="005A3FAD" w:rsidRDefault="005A3FAD" w:rsidP="00EE7548">
      <w:pPr>
        <w:pStyle w:val="Bullet1"/>
      </w:pPr>
      <w:r w:rsidRPr="005A3FAD">
        <w:rPr>
          <w:b/>
          <w:bCs/>
        </w:rPr>
        <w:t>Focus</w:t>
      </w:r>
      <w:r w:rsidRPr="005A3FAD">
        <w:t xml:space="preserve"> is the degree to which opportunities to practice are targeted to the critical content and pedagogy outlined in the teacher standards and those agreed upon to establish through-lines in instructional expectations. </w:t>
      </w:r>
    </w:p>
    <w:p w:rsidR="005A3FAD" w:rsidRPr="005A3FAD" w:rsidRDefault="005A3FAD" w:rsidP="00EE7548">
      <w:pPr>
        <w:pStyle w:val="Bullet1"/>
      </w:pPr>
      <w:r w:rsidRPr="005A3FAD">
        <w:rPr>
          <w:b/>
          <w:bCs/>
        </w:rPr>
        <w:lastRenderedPageBreak/>
        <w:t>Duration</w:t>
      </w:r>
      <w:r w:rsidRPr="005A3FAD">
        <w:t xml:space="preserve"> is the length of time that candidates are offered to extend learning and develop mastery of the critical content and pedagogical approaches necessary to be learner ready from day one. </w:t>
      </w:r>
    </w:p>
    <w:p w:rsidR="005A3FAD" w:rsidRPr="005A3FAD" w:rsidRDefault="005A3FAD" w:rsidP="00EE7548">
      <w:pPr>
        <w:pStyle w:val="Bullet1"/>
      </w:pPr>
      <w:r w:rsidRPr="005A3FAD">
        <w:rPr>
          <w:b/>
          <w:bCs/>
        </w:rPr>
        <w:t>Coherence</w:t>
      </w:r>
      <w:r w:rsidRPr="005A3FAD">
        <w:t xml:space="preserve"> is the extent to which common expectations of instructional practice are reinforced and advanced throughout and across coursework and field experiences, and the extent to which coursework and field experiences are aligned and scope and sequence are considered.</w:t>
      </w:r>
    </w:p>
    <w:p w:rsidR="005A3FAD" w:rsidRPr="005A3FAD" w:rsidRDefault="005A3FAD" w:rsidP="005A3FAD">
      <w:pPr>
        <w:pStyle w:val="BodyText"/>
      </w:pPr>
      <w:r w:rsidRPr="005A3FAD">
        <w:t>To complete Step 2, program faculty will use the program assessment rubric in Table 2 to assess the degree to which the three overarching features are (or are not) integral to the program. This step requires a review of the entire program and cannot be based on one or two courses alone. Program faculty will begin by:</w:t>
      </w:r>
    </w:p>
    <w:p w:rsidR="005A3FAD" w:rsidRPr="005A3FAD" w:rsidRDefault="005A3FAD" w:rsidP="00EE7548">
      <w:pPr>
        <w:pStyle w:val="Bullet1"/>
      </w:pPr>
      <w:r w:rsidRPr="005A3FAD">
        <w:t>Using the guiding questions to determine a quality indicator that is aligned to the program’s approach.</w:t>
      </w:r>
    </w:p>
    <w:p w:rsidR="005A3FAD" w:rsidRPr="005A3FAD" w:rsidRDefault="005A3FAD" w:rsidP="00EE7548">
      <w:pPr>
        <w:pStyle w:val="Bullet1"/>
      </w:pPr>
      <w:r w:rsidRPr="005A3FAD">
        <w:lastRenderedPageBreak/>
        <w:t>Identifying cases in which low- or medium-quality indicators for one or more of the three approaches may indicate a need for further examination and review of course syllabi to provide deeper analysis and reflection. If initial findings are valid, program faculty can proceed to Step 3. This analysis can be supported by the CEEDAR Center ICs by determining the extent to which evidence-based practices are addressed and the level of implementation that candidates are expected to employ.</w:t>
      </w:r>
    </w:p>
    <w:p w:rsidR="00787A89" w:rsidRDefault="00787A89" w:rsidP="00DD64A0">
      <w:pPr>
        <w:sectPr w:rsidR="00787A89" w:rsidSect="00DF5097">
          <w:pgSz w:w="15840" w:h="12240" w:orient="landscape"/>
          <w:pgMar w:top="1080" w:right="1080" w:bottom="1440" w:left="1440" w:header="720" w:footer="720" w:gutter="0"/>
          <w:pgNumType w:start="4"/>
          <w:cols w:num="3" w:space="720"/>
          <w:docGrid w:linePitch="360"/>
        </w:sectPr>
      </w:pPr>
    </w:p>
    <w:p w:rsidR="00DF5097" w:rsidRPr="00DF5097" w:rsidRDefault="00DF5097" w:rsidP="00DF5097">
      <w:pPr>
        <w:pStyle w:val="TableTitle"/>
      </w:pPr>
      <w:r>
        <w:lastRenderedPageBreak/>
        <w:t>Table 2: Program Assessment</w:t>
      </w:r>
    </w:p>
    <w:p w:rsidR="00967EDB" w:rsidRPr="00DF5097" w:rsidRDefault="00DF5097" w:rsidP="00DF5097">
      <w:pPr>
        <w:pStyle w:val="BodyText"/>
        <w:spacing w:after="120"/>
      </w:pPr>
      <w:r w:rsidRPr="00DF5097">
        <w:t xml:space="preserve">Use the rubric and guiding questions presented in this table to consider the breadth of practice-based opportunities offered to candidates across their teacher preparation experience in the program. </w:t>
      </w:r>
    </w:p>
    <w:tbl>
      <w:tblPr>
        <w:tblStyle w:val="GTLTable1"/>
        <w:tblW w:w="0" w:type="auto"/>
        <w:tblLayout w:type="fixed"/>
        <w:tblLook w:val="0620" w:firstRow="1" w:lastRow="0" w:firstColumn="0" w:lastColumn="0" w:noHBand="1" w:noVBand="1"/>
      </w:tblPr>
      <w:tblGrid>
        <w:gridCol w:w="1984"/>
        <w:gridCol w:w="3843"/>
        <w:gridCol w:w="2256"/>
        <w:gridCol w:w="2256"/>
        <w:gridCol w:w="2256"/>
      </w:tblGrid>
      <w:tr w:rsidR="00DF5097" w:rsidRPr="00DF5097" w:rsidTr="005B20F1">
        <w:trPr>
          <w:cnfStyle w:val="100000000000" w:firstRow="1" w:lastRow="0" w:firstColumn="0" w:lastColumn="0" w:oddVBand="0" w:evenVBand="0" w:oddHBand="0" w:evenHBand="0" w:firstRowFirstColumn="0" w:firstRowLastColumn="0" w:lastRowFirstColumn="0" w:lastRowLastColumn="0"/>
          <w:trHeight w:val="116"/>
          <w:tblHeader/>
        </w:trPr>
        <w:tc>
          <w:tcPr>
            <w:tcW w:w="12595" w:type="dxa"/>
            <w:gridSpan w:val="5"/>
          </w:tcPr>
          <w:p w:rsidR="00DF5097" w:rsidRPr="00DF5097" w:rsidRDefault="00DF5097" w:rsidP="00DF5097">
            <w:pPr>
              <w:pStyle w:val="TableColumnHeadCentered"/>
              <w:rPr>
                <w:rFonts w:eastAsiaTheme="minorEastAsia"/>
              </w:rPr>
            </w:pPr>
            <w:r w:rsidRPr="00DF5097">
              <w:rPr>
                <w:rFonts w:eastAsiaTheme="minorEastAsia"/>
              </w:rPr>
              <w:t xml:space="preserve">Quality Indicators </w:t>
            </w:r>
          </w:p>
        </w:tc>
      </w:tr>
      <w:tr w:rsidR="00DF5097" w:rsidRPr="00DF5097" w:rsidTr="005B20F1">
        <w:trPr>
          <w:cnfStyle w:val="100000000000" w:firstRow="1" w:lastRow="0" w:firstColumn="0" w:lastColumn="0" w:oddVBand="0" w:evenVBand="0" w:oddHBand="0" w:evenHBand="0" w:firstRowFirstColumn="0" w:firstRowLastColumn="0" w:lastRowFirstColumn="0" w:lastRowLastColumn="0"/>
          <w:trHeight w:val="60"/>
          <w:tblHeader/>
        </w:trPr>
        <w:tc>
          <w:tcPr>
            <w:tcW w:w="5827" w:type="dxa"/>
            <w:gridSpan w:val="2"/>
            <w:shd w:val="clear" w:color="auto" w:fill="4B76A0" w:themeFill="accent1"/>
          </w:tcPr>
          <w:p w:rsidR="00DF5097" w:rsidRPr="00DF5097" w:rsidRDefault="00DF5097" w:rsidP="00DF5097">
            <w:pPr>
              <w:autoSpaceDE w:val="0"/>
              <w:autoSpaceDN w:val="0"/>
              <w:adjustRightInd w:val="0"/>
              <w:rPr>
                <w:rFonts w:ascii="Arial" w:eastAsiaTheme="minorEastAsia" w:hAnsi="Arial" w:cs="Arial"/>
              </w:rPr>
            </w:pPr>
          </w:p>
        </w:tc>
        <w:tc>
          <w:tcPr>
            <w:tcW w:w="2256" w:type="dxa"/>
            <w:shd w:val="clear" w:color="auto" w:fill="4B76A0" w:themeFill="accent1"/>
          </w:tcPr>
          <w:p w:rsidR="00DF5097" w:rsidRPr="00DF5097" w:rsidRDefault="00DF5097" w:rsidP="00DF5097">
            <w:pPr>
              <w:pStyle w:val="TableColumnHeadCentered"/>
              <w:rPr>
                <w:color w:val="FFFFFF" w:themeColor="background1"/>
              </w:rPr>
            </w:pPr>
            <w:r w:rsidRPr="00DF5097">
              <w:rPr>
                <w:color w:val="FFFFFF" w:themeColor="background1"/>
              </w:rPr>
              <w:t xml:space="preserve">Low Quality </w:t>
            </w:r>
          </w:p>
        </w:tc>
        <w:tc>
          <w:tcPr>
            <w:tcW w:w="2256" w:type="dxa"/>
            <w:shd w:val="clear" w:color="auto" w:fill="4B76A0" w:themeFill="accent1"/>
          </w:tcPr>
          <w:p w:rsidR="00DF5097" w:rsidRPr="00DF5097" w:rsidRDefault="00DF5097" w:rsidP="00DF5097">
            <w:pPr>
              <w:pStyle w:val="TableColumnHeadCentered"/>
              <w:rPr>
                <w:color w:val="FFFFFF" w:themeColor="background1"/>
              </w:rPr>
            </w:pPr>
            <w:r w:rsidRPr="00DF5097">
              <w:rPr>
                <w:color w:val="FFFFFF" w:themeColor="background1"/>
              </w:rPr>
              <w:t xml:space="preserve">Medium Quality </w:t>
            </w:r>
          </w:p>
        </w:tc>
        <w:tc>
          <w:tcPr>
            <w:tcW w:w="2256" w:type="dxa"/>
            <w:shd w:val="clear" w:color="auto" w:fill="4B76A0" w:themeFill="accent1"/>
          </w:tcPr>
          <w:p w:rsidR="00DF5097" w:rsidRPr="00DF5097" w:rsidRDefault="00DF5097" w:rsidP="00DF5097">
            <w:pPr>
              <w:pStyle w:val="TableColumnHeadCentered"/>
              <w:rPr>
                <w:color w:val="FFFFFF" w:themeColor="background1"/>
              </w:rPr>
            </w:pPr>
            <w:r w:rsidRPr="00DF5097">
              <w:rPr>
                <w:color w:val="FFFFFF" w:themeColor="background1"/>
              </w:rPr>
              <w:t xml:space="preserve">High Quality </w:t>
            </w:r>
          </w:p>
        </w:tc>
      </w:tr>
      <w:tr w:rsidR="00DF5097" w:rsidRPr="00DF5097" w:rsidTr="005B20F1">
        <w:trPr>
          <w:trHeight w:val="60"/>
        </w:trPr>
        <w:tc>
          <w:tcPr>
            <w:tcW w:w="5827" w:type="dxa"/>
            <w:gridSpan w:val="2"/>
            <w:shd w:val="clear" w:color="auto" w:fill="EAEAEA"/>
          </w:tcPr>
          <w:p w:rsidR="00DF5097" w:rsidRPr="00DF5097" w:rsidRDefault="00DF5097" w:rsidP="005B20F1">
            <w:pPr>
              <w:pStyle w:val="TableText"/>
            </w:pPr>
            <w:r w:rsidRPr="00DF5097">
              <w:rPr>
                <w:b/>
                <w:bCs/>
              </w:rPr>
              <w:t>Instructions:</w:t>
            </w:r>
            <w:r w:rsidRPr="00DF5097">
              <w:t xml:space="preserve"> To what extent are practice-based approaches, as defined by the three essential features outlined in this table, reflected across the duration of a student’s preparation experience?</w:t>
            </w:r>
          </w:p>
        </w:tc>
        <w:tc>
          <w:tcPr>
            <w:tcW w:w="2256" w:type="dxa"/>
            <w:shd w:val="clear" w:color="auto" w:fill="EAEAEA"/>
          </w:tcPr>
          <w:p w:rsidR="00DF5097" w:rsidRPr="00DF5097" w:rsidRDefault="00DF5097" w:rsidP="005B20F1">
            <w:pPr>
              <w:pStyle w:val="TableText"/>
            </w:pPr>
            <w:r w:rsidRPr="00DF5097">
              <w:t>There is no evidence that the approach is integrated within and across coursework and field experiences. Further examination of course syllabi may be warranted.</w:t>
            </w:r>
          </w:p>
        </w:tc>
        <w:tc>
          <w:tcPr>
            <w:tcW w:w="2256" w:type="dxa"/>
            <w:shd w:val="clear" w:color="auto" w:fill="EAEAEA"/>
          </w:tcPr>
          <w:p w:rsidR="00DF5097" w:rsidRPr="00DF5097" w:rsidRDefault="00DF5097" w:rsidP="005B20F1">
            <w:pPr>
              <w:pStyle w:val="TableText"/>
            </w:pPr>
            <w:r w:rsidRPr="00DF5097">
              <w:t xml:space="preserve">There is some evidence that the approach is integrated within and across coursework and field experiences. Further examination of course syllabi may be warranted. </w:t>
            </w:r>
          </w:p>
        </w:tc>
        <w:tc>
          <w:tcPr>
            <w:tcW w:w="2256" w:type="dxa"/>
            <w:shd w:val="clear" w:color="auto" w:fill="EAEAEA"/>
          </w:tcPr>
          <w:p w:rsidR="00DF5097" w:rsidRPr="00DF5097" w:rsidRDefault="00DF5097" w:rsidP="005B20F1">
            <w:pPr>
              <w:pStyle w:val="TableText"/>
            </w:pPr>
            <w:r w:rsidRPr="00DF5097">
              <w:t>There is strong evidence that the approach is fully integrated across coursework and field experiences. Further examination of course syllabi may not be warranted.</w:t>
            </w:r>
          </w:p>
        </w:tc>
      </w:tr>
      <w:tr w:rsidR="00DF5097" w:rsidRPr="00DF5097" w:rsidTr="00DF5097">
        <w:trPr>
          <w:trHeight w:val="60"/>
        </w:trPr>
        <w:tc>
          <w:tcPr>
            <w:tcW w:w="1984" w:type="dxa"/>
            <w:shd w:val="clear" w:color="auto" w:fill="A6A6A6" w:themeFill="background1" w:themeFillShade="A6"/>
          </w:tcPr>
          <w:p w:rsidR="00DF5097" w:rsidRPr="00DF5097" w:rsidRDefault="00DF5097" w:rsidP="00525D7E">
            <w:pPr>
              <w:pStyle w:val="TableColumnHeadCentered"/>
              <w:rPr>
                <w:rFonts w:eastAsiaTheme="minorEastAsia"/>
                <w:color w:val="FFFFFF" w:themeColor="background1"/>
              </w:rPr>
            </w:pPr>
            <w:r w:rsidRPr="00DF5097">
              <w:rPr>
                <w:rFonts w:eastAsiaTheme="minorEastAsia"/>
                <w:color w:val="FFFFFF" w:themeColor="background1"/>
              </w:rPr>
              <w:t>Approach</w:t>
            </w:r>
          </w:p>
        </w:tc>
        <w:tc>
          <w:tcPr>
            <w:tcW w:w="3843" w:type="dxa"/>
            <w:shd w:val="clear" w:color="auto" w:fill="A6A6A6" w:themeFill="background1" w:themeFillShade="A6"/>
          </w:tcPr>
          <w:p w:rsidR="00DF5097" w:rsidRPr="00DF5097" w:rsidRDefault="00DF5097" w:rsidP="00525D7E">
            <w:pPr>
              <w:pStyle w:val="TableColumnHeadCentered"/>
              <w:rPr>
                <w:rFonts w:eastAsiaTheme="minorEastAsia"/>
                <w:color w:val="FFFFFF" w:themeColor="background1"/>
              </w:rPr>
            </w:pPr>
            <w:r w:rsidRPr="00DF5097">
              <w:rPr>
                <w:rFonts w:eastAsiaTheme="minorEastAsia"/>
                <w:color w:val="FFFFFF" w:themeColor="background1"/>
              </w:rPr>
              <w:t>Questions to Consider</w:t>
            </w:r>
          </w:p>
        </w:tc>
        <w:tc>
          <w:tcPr>
            <w:tcW w:w="2256" w:type="dxa"/>
            <w:shd w:val="clear" w:color="auto" w:fill="A6A6A6" w:themeFill="background1" w:themeFillShade="A6"/>
          </w:tcPr>
          <w:p w:rsidR="00DF5097" w:rsidRPr="00DF5097" w:rsidRDefault="00DF5097" w:rsidP="00DF5097">
            <w:pPr>
              <w:pStyle w:val="TableColumnHeadCentered"/>
              <w:rPr>
                <w:rFonts w:ascii="Arial" w:eastAsiaTheme="minorEastAsia" w:hAnsi="Arial" w:cs="Arial"/>
                <w:color w:val="FFFFFF" w:themeColor="background1"/>
              </w:rPr>
            </w:pPr>
          </w:p>
        </w:tc>
        <w:tc>
          <w:tcPr>
            <w:tcW w:w="2256" w:type="dxa"/>
            <w:shd w:val="clear" w:color="auto" w:fill="A6A6A6" w:themeFill="background1" w:themeFillShade="A6"/>
          </w:tcPr>
          <w:p w:rsidR="00DF5097" w:rsidRPr="00DF5097" w:rsidRDefault="00DF5097" w:rsidP="00DF5097">
            <w:pPr>
              <w:pStyle w:val="TableColumnHeadCentered"/>
              <w:rPr>
                <w:rFonts w:ascii="Arial" w:eastAsiaTheme="minorEastAsia" w:hAnsi="Arial" w:cs="Arial"/>
                <w:color w:val="FFFFFF" w:themeColor="background1"/>
              </w:rPr>
            </w:pPr>
          </w:p>
        </w:tc>
        <w:tc>
          <w:tcPr>
            <w:tcW w:w="2256" w:type="dxa"/>
            <w:shd w:val="clear" w:color="auto" w:fill="A6A6A6" w:themeFill="background1" w:themeFillShade="A6"/>
          </w:tcPr>
          <w:p w:rsidR="00DF5097" w:rsidRPr="00DF5097" w:rsidRDefault="00DF5097" w:rsidP="00DF5097">
            <w:pPr>
              <w:pStyle w:val="TableColumnHeadCentered"/>
              <w:rPr>
                <w:rFonts w:ascii="Arial" w:eastAsiaTheme="minorEastAsia" w:hAnsi="Arial" w:cs="Arial"/>
                <w:color w:val="FFFFFF" w:themeColor="background1"/>
              </w:rPr>
            </w:pPr>
          </w:p>
        </w:tc>
      </w:tr>
      <w:tr w:rsidR="00DF5097" w:rsidRPr="00DF5097" w:rsidTr="005B20F1">
        <w:trPr>
          <w:trHeight w:val="5057"/>
        </w:trPr>
        <w:tc>
          <w:tcPr>
            <w:tcW w:w="1984" w:type="dxa"/>
            <w:shd w:val="clear" w:color="auto" w:fill="EAEAEA"/>
          </w:tcPr>
          <w:p w:rsidR="00DF5097" w:rsidRPr="00DF5097" w:rsidRDefault="00DF5097" w:rsidP="00ED76E3">
            <w:pPr>
              <w:pStyle w:val="TableSubheading"/>
              <w:rPr>
                <w:color w:val="000000"/>
                <w:sz w:val="18"/>
                <w:szCs w:val="18"/>
              </w:rPr>
            </w:pPr>
            <w:r w:rsidRPr="00DF5097">
              <w:t>Focus</w:t>
            </w:r>
          </w:p>
          <w:p w:rsidR="00DF5097" w:rsidRPr="00DF5097" w:rsidRDefault="00DF5097" w:rsidP="005B20F1">
            <w:pPr>
              <w:pStyle w:val="TableText"/>
            </w:pPr>
            <w:r w:rsidRPr="00DF5097">
              <w:rPr>
                <w:b/>
                <w:bCs/>
              </w:rPr>
              <w:t xml:space="preserve">Description: </w:t>
            </w:r>
            <w:r w:rsidRPr="00DF5097">
              <w:t>Critical knowledge and skills essential to effective teaching are targeted across practice-based opportunities, coursework, and field experiences.</w:t>
            </w:r>
          </w:p>
        </w:tc>
        <w:tc>
          <w:tcPr>
            <w:tcW w:w="3843" w:type="dxa"/>
            <w:shd w:val="clear" w:color="auto" w:fill="EAEAEA"/>
          </w:tcPr>
          <w:p w:rsidR="00DF5097" w:rsidRPr="00EE7548" w:rsidRDefault="00DF5097" w:rsidP="00EE7548">
            <w:pPr>
              <w:pStyle w:val="TableBullet1"/>
            </w:pPr>
            <w:r w:rsidRPr="00DF5097">
              <w:t>Have the tea</w:t>
            </w:r>
            <w:r w:rsidRPr="00EE7548">
              <w:t>cher education faculty identified critical content and pedagogical practices as reflected in teacher standards, and have they reached a consensus on common expectations of instructional practice?</w:t>
            </w:r>
          </w:p>
          <w:p w:rsidR="00DF5097" w:rsidRPr="00EE7548" w:rsidRDefault="00DF5097" w:rsidP="00EE7548">
            <w:pPr>
              <w:pStyle w:val="TableBullet1"/>
            </w:pPr>
            <w:r w:rsidRPr="00EE7548">
              <w:t>Are there demonstrated through-lines in instructional expectations across coursework and field experiences that are scaffolded to build upon content knowledge and skill level?</w:t>
            </w:r>
          </w:p>
          <w:p w:rsidR="00DF5097" w:rsidRPr="00EE7548" w:rsidRDefault="00DF5097" w:rsidP="00EE7548">
            <w:pPr>
              <w:pStyle w:val="TableBullet1"/>
            </w:pPr>
            <w:r w:rsidRPr="00EE7548">
              <w:t>Are the expectations of practice grounded in evidence, and do they reflect practices for a broad range of students (e.g., typically developing learners, students with disabilities, English learners)?</w:t>
            </w:r>
          </w:p>
          <w:p w:rsidR="00DF5097" w:rsidRPr="00DF5097" w:rsidRDefault="00DF5097" w:rsidP="00EE7548">
            <w:pPr>
              <w:pStyle w:val="TableBullet1"/>
            </w:pPr>
            <w:r w:rsidRPr="00EE7548">
              <w:t>Do the identified content and pedagogical practices support candidate capacity to</w:t>
            </w:r>
            <w:r w:rsidRPr="00DF5097">
              <w:t xml:space="preserve"> operate effectively within a Multi-Tiered Systems of Support (MTSS) framework?</w:t>
            </w:r>
          </w:p>
        </w:tc>
        <w:tc>
          <w:tcPr>
            <w:tcW w:w="2256" w:type="dxa"/>
          </w:tcPr>
          <w:p w:rsidR="00DF5097" w:rsidRPr="00DF5097" w:rsidRDefault="00DF5097" w:rsidP="00DF5097">
            <w:pPr>
              <w:autoSpaceDE w:val="0"/>
              <w:autoSpaceDN w:val="0"/>
              <w:adjustRightInd w:val="0"/>
              <w:rPr>
                <w:rFonts w:ascii="Arial" w:eastAsiaTheme="minorEastAsia" w:hAnsi="Arial" w:cs="Arial"/>
              </w:rPr>
            </w:pPr>
          </w:p>
        </w:tc>
        <w:tc>
          <w:tcPr>
            <w:tcW w:w="2256" w:type="dxa"/>
          </w:tcPr>
          <w:p w:rsidR="00DF5097" w:rsidRPr="00DF5097" w:rsidRDefault="00DF5097" w:rsidP="00DF5097">
            <w:pPr>
              <w:autoSpaceDE w:val="0"/>
              <w:autoSpaceDN w:val="0"/>
              <w:adjustRightInd w:val="0"/>
              <w:rPr>
                <w:rFonts w:ascii="Arial" w:eastAsiaTheme="minorEastAsia" w:hAnsi="Arial" w:cs="Arial"/>
              </w:rPr>
            </w:pPr>
          </w:p>
        </w:tc>
        <w:tc>
          <w:tcPr>
            <w:tcW w:w="2256" w:type="dxa"/>
          </w:tcPr>
          <w:p w:rsidR="00DF5097" w:rsidRPr="00DF5097" w:rsidRDefault="00DF5097" w:rsidP="00DF5097">
            <w:pPr>
              <w:tabs>
                <w:tab w:val="left" w:pos="1728"/>
              </w:tabs>
              <w:suppressAutoHyphens/>
              <w:autoSpaceDE w:val="0"/>
              <w:autoSpaceDN w:val="0"/>
              <w:adjustRightInd w:val="0"/>
              <w:spacing w:line="264" w:lineRule="auto"/>
              <w:jc w:val="center"/>
              <w:textAlignment w:val="center"/>
              <w:rPr>
                <w:rFonts w:ascii="ITC Franklin Gothic Std Book" w:eastAsiaTheme="minorEastAsia" w:hAnsi="ITC Franklin Gothic Std Book" w:cs="ITC Franklin Gothic Std Book"/>
                <w:color w:val="000000"/>
                <w:sz w:val="22"/>
                <w:szCs w:val="22"/>
              </w:rPr>
            </w:pPr>
          </w:p>
          <w:p w:rsidR="00DF5097" w:rsidRPr="00DF5097" w:rsidRDefault="00DF5097" w:rsidP="00DF5097">
            <w:pPr>
              <w:tabs>
                <w:tab w:val="left" w:pos="1728"/>
              </w:tabs>
              <w:suppressAutoHyphens/>
              <w:autoSpaceDE w:val="0"/>
              <w:autoSpaceDN w:val="0"/>
              <w:adjustRightInd w:val="0"/>
              <w:spacing w:line="264" w:lineRule="auto"/>
              <w:jc w:val="center"/>
              <w:textAlignment w:val="center"/>
              <w:rPr>
                <w:rFonts w:ascii="Calibri" w:eastAsiaTheme="minorEastAsia" w:hAnsi="Calibri" w:cs="Calibri"/>
                <w:color w:val="000000"/>
                <w:sz w:val="22"/>
                <w:szCs w:val="22"/>
              </w:rPr>
            </w:pPr>
          </w:p>
        </w:tc>
      </w:tr>
      <w:tr w:rsidR="00DF5097" w:rsidRPr="00DF5097" w:rsidTr="005B20F1">
        <w:trPr>
          <w:trHeight w:val="60"/>
        </w:trPr>
        <w:tc>
          <w:tcPr>
            <w:tcW w:w="5827" w:type="dxa"/>
            <w:gridSpan w:val="2"/>
            <w:shd w:val="clear" w:color="auto" w:fill="EAEAEA"/>
          </w:tcPr>
          <w:p w:rsidR="00DF5097" w:rsidRPr="00DF5097" w:rsidRDefault="00DF5097" w:rsidP="005B20F1">
            <w:pPr>
              <w:pStyle w:val="TableText"/>
            </w:pPr>
            <w:r w:rsidRPr="00DF5097">
              <w:rPr>
                <w:b/>
                <w:bCs/>
              </w:rPr>
              <w:t>Instructions:</w:t>
            </w:r>
            <w:r w:rsidRPr="00DF5097">
              <w:t xml:space="preserve"> To what extent are practice-based approaches, as defined by the three essential features outlined in this table, reflected across the duration of a student’s </w:t>
            </w:r>
            <w:r w:rsidRPr="00DF5097">
              <w:lastRenderedPageBreak/>
              <w:t>preparation experience?</w:t>
            </w:r>
          </w:p>
        </w:tc>
        <w:tc>
          <w:tcPr>
            <w:tcW w:w="2256" w:type="dxa"/>
            <w:shd w:val="clear" w:color="auto" w:fill="EAEAEA"/>
          </w:tcPr>
          <w:p w:rsidR="00DF5097" w:rsidRPr="00DF5097" w:rsidRDefault="00DF5097" w:rsidP="005B20F1">
            <w:pPr>
              <w:pStyle w:val="TableText"/>
            </w:pPr>
            <w:r w:rsidRPr="00DF5097">
              <w:lastRenderedPageBreak/>
              <w:t xml:space="preserve">There is no evidence that the approach is integrated within and across coursework and </w:t>
            </w:r>
            <w:r w:rsidRPr="00DF5097">
              <w:lastRenderedPageBreak/>
              <w:t>field experiences. Further examination of course syllabi may be warranted.</w:t>
            </w:r>
          </w:p>
        </w:tc>
        <w:tc>
          <w:tcPr>
            <w:tcW w:w="2256" w:type="dxa"/>
            <w:shd w:val="clear" w:color="auto" w:fill="EAEAEA"/>
          </w:tcPr>
          <w:p w:rsidR="00DF5097" w:rsidRPr="00DF5097" w:rsidRDefault="00DF5097" w:rsidP="005B20F1">
            <w:pPr>
              <w:pStyle w:val="TableText"/>
            </w:pPr>
            <w:r w:rsidRPr="00DF5097">
              <w:lastRenderedPageBreak/>
              <w:t xml:space="preserve">There is some evidence that the approach is integrated within and across coursework </w:t>
            </w:r>
            <w:r w:rsidRPr="00DF5097">
              <w:lastRenderedPageBreak/>
              <w:t xml:space="preserve">and field experiences. Further examination of course syllabi may be warranted. </w:t>
            </w:r>
          </w:p>
        </w:tc>
        <w:tc>
          <w:tcPr>
            <w:tcW w:w="2256" w:type="dxa"/>
            <w:shd w:val="clear" w:color="auto" w:fill="EAEAEA"/>
          </w:tcPr>
          <w:p w:rsidR="00DF5097" w:rsidRPr="00DF5097" w:rsidRDefault="00DF5097" w:rsidP="005B20F1">
            <w:pPr>
              <w:pStyle w:val="TableText"/>
            </w:pPr>
            <w:r w:rsidRPr="00DF5097">
              <w:lastRenderedPageBreak/>
              <w:t xml:space="preserve">There is strong evidence that the approach is fully integrated across coursework and field </w:t>
            </w:r>
            <w:r w:rsidRPr="00DF5097">
              <w:lastRenderedPageBreak/>
              <w:t>experiences. Further examination of course syllabi may not be warranted.</w:t>
            </w:r>
          </w:p>
        </w:tc>
      </w:tr>
      <w:tr w:rsidR="00DF5097" w:rsidRPr="00DF5097" w:rsidTr="005B20F1">
        <w:trPr>
          <w:trHeight w:val="60"/>
        </w:trPr>
        <w:tc>
          <w:tcPr>
            <w:tcW w:w="1984" w:type="dxa"/>
            <w:shd w:val="clear" w:color="auto" w:fill="A6A6A6" w:themeFill="background1" w:themeFillShade="A6"/>
          </w:tcPr>
          <w:p w:rsidR="00DF5097" w:rsidRPr="00DF5097" w:rsidRDefault="00DF5097" w:rsidP="00DF5097">
            <w:pPr>
              <w:suppressAutoHyphens/>
              <w:autoSpaceDE w:val="0"/>
              <w:autoSpaceDN w:val="0"/>
              <w:adjustRightInd w:val="0"/>
              <w:spacing w:line="240" w:lineRule="atLeast"/>
              <w:jc w:val="center"/>
              <w:textAlignment w:val="center"/>
              <w:rPr>
                <w:rFonts w:ascii="Arial Narrow" w:eastAsiaTheme="minorEastAsia" w:hAnsi="Arial Narrow" w:cs="Arial Narrow"/>
                <w:b/>
                <w:bCs/>
                <w:color w:val="FFFFFF"/>
                <w:sz w:val="19"/>
                <w:szCs w:val="19"/>
              </w:rPr>
            </w:pPr>
            <w:r w:rsidRPr="00DF5097">
              <w:rPr>
                <w:rFonts w:ascii="Arial Narrow" w:eastAsiaTheme="minorEastAsia" w:hAnsi="Arial Narrow" w:cs="Arial Narrow"/>
                <w:b/>
                <w:bCs/>
                <w:color w:val="FFFFFF"/>
                <w:sz w:val="19"/>
                <w:szCs w:val="19"/>
              </w:rPr>
              <w:lastRenderedPageBreak/>
              <w:t>Approach</w:t>
            </w:r>
          </w:p>
        </w:tc>
        <w:tc>
          <w:tcPr>
            <w:tcW w:w="3843" w:type="dxa"/>
            <w:shd w:val="clear" w:color="auto" w:fill="A6A6A6" w:themeFill="background1" w:themeFillShade="A6"/>
          </w:tcPr>
          <w:p w:rsidR="00DF5097" w:rsidRPr="00DF5097" w:rsidRDefault="00DF5097" w:rsidP="00DF5097">
            <w:pPr>
              <w:suppressAutoHyphens/>
              <w:autoSpaceDE w:val="0"/>
              <w:autoSpaceDN w:val="0"/>
              <w:adjustRightInd w:val="0"/>
              <w:spacing w:line="240" w:lineRule="atLeast"/>
              <w:jc w:val="center"/>
              <w:textAlignment w:val="center"/>
              <w:rPr>
                <w:rFonts w:ascii="Arial Narrow" w:eastAsiaTheme="minorEastAsia" w:hAnsi="Arial Narrow" w:cs="Arial Narrow"/>
                <w:b/>
                <w:bCs/>
                <w:color w:val="FFFFFF"/>
                <w:sz w:val="19"/>
                <w:szCs w:val="19"/>
              </w:rPr>
            </w:pPr>
            <w:r w:rsidRPr="00DF5097">
              <w:rPr>
                <w:rFonts w:ascii="Arial Narrow" w:eastAsiaTheme="minorEastAsia" w:hAnsi="Arial Narrow" w:cs="Arial Narrow"/>
                <w:b/>
                <w:bCs/>
                <w:color w:val="FFFFFF"/>
                <w:sz w:val="19"/>
                <w:szCs w:val="19"/>
              </w:rPr>
              <w:t>Questions to Consider</w:t>
            </w:r>
          </w:p>
        </w:tc>
        <w:tc>
          <w:tcPr>
            <w:tcW w:w="2256" w:type="dxa"/>
            <w:shd w:val="clear" w:color="auto" w:fill="A6A6A6" w:themeFill="background1" w:themeFillShade="A6"/>
          </w:tcPr>
          <w:p w:rsidR="00DF5097" w:rsidRPr="00DF5097" w:rsidRDefault="00DF5097" w:rsidP="00DF5097">
            <w:pPr>
              <w:autoSpaceDE w:val="0"/>
              <w:autoSpaceDN w:val="0"/>
              <w:adjustRightInd w:val="0"/>
              <w:rPr>
                <w:rFonts w:ascii="Arial" w:eastAsiaTheme="minorEastAsia" w:hAnsi="Arial" w:cs="Arial"/>
              </w:rPr>
            </w:pPr>
          </w:p>
        </w:tc>
        <w:tc>
          <w:tcPr>
            <w:tcW w:w="2256" w:type="dxa"/>
            <w:shd w:val="clear" w:color="auto" w:fill="A6A6A6" w:themeFill="background1" w:themeFillShade="A6"/>
          </w:tcPr>
          <w:p w:rsidR="00DF5097" w:rsidRPr="00DF5097" w:rsidRDefault="00DF5097" w:rsidP="00DF5097">
            <w:pPr>
              <w:autoSpaceDE w:val="0"/>
              <w:autoSpaceDN w:val="0"/>
              <w:adjustRightInd w:val="0"/>
              <w:rPr>
                <w:rFonts w:ascii="Arial" w:eastAsiaTheme="minorEastAsia" w:hAnsi="Arial" w:cs="Arial"/>
              </w:rPr>
            </w:pPr>
          </w:p>
        </w:tc>
        <w:tc>
          <w:tcPr>
            <w:tcW w:w="2256" w:type="dxa"/>
            <w:shd w:val="clear" w:color="auto" w:fill="A6A6A6" w:themeFill="background1" w:themeFillShade="A6"/>
          </w:tcPr>
          <w:p w:rsidR="00DF5097" w:rsidRPr="00DF5097" w:rsidRDefault="00DF5097" w:rsidP="00DF5097">
            <w:pPr>
              <w:autoSpaceDE w:val="0"/>
              <w:autoSpaceDN w:val="0"/>
              <w:adjustRightInd w:val="0"/>
              <w:rPr>
                <w:rFonts w:ascii="Arial" w:eastAsiaTheme="minorEastAsia" w:hAnsi="Arial" w:cs="Arial"/>
              </w:rPr>
            </w:pPr>
          </w:p>
        </w:tc>
      </w:tr>
      <w:tr w:rsidR="00DF5097" w:rsidRPr="00DF5097" w:rsidTr="005B20F1">
        <w:trPr>
          <w:trHeight w:val="60"/>
        </w:trPr>
        <w:tc>
          <w:tcPr>
            <w:tcW w:w="1984" w:type="dxa"/>
            <w:shd w:val="clear" w:color="auto" w:fill="EAEAEA"/>
          </w:tcPr>
          <w:p w:rsidR="00DF5097" w:rsidRPr="00DF5097" w:rsidRDefault="00DF5097" w:rsidP="00ED76E3">
            <w:pPr>
              <w:pStyle w:val="TableSubheading"/>
            </w:pPr>
            <w:r w:rsidRPr="00DF5097">
              <w:t>Duration</w:t>
            </w:r>
          </w:p>
          <w:p w:rsidR="00DF5097" w:rsidRPr="00DF5097" w:rsidRDefault="00DF5097" w:rsidP="005B20F1">
            <w:pPr>
              <w:pStyle w:val="TableText"/>
            </w:pPr>
            <w:r w:rsidRPr="00DF5097">
              <w:rPr>
                <w:b/>
                <w:bCs/>
              </w:rPr>
              <w:t>Description</w:t>
            </w:r>
            <w:r w:rsidRPr="00DF5097">
              <w:t>: Candidates are offered sufficient opportunities to deepen their knowledge and to hone their practice across the program.</w:t>
            </w:r>
          </w:p>
        </w:tc>
        <w:tc>
          <w:tcPr>
            <w:tcW w:w="3843" w:type="dxa"/>
            <w:shd w:val="clear" w:color="auto" w:fill="EAEAEA"/>
          </w:tcPr>
          <w:p w:rsidR="00DF5097" w:rsidRPr="00EE7548" w:rsidRDefault="00DF5097" w:rsidP="00EE7548">
            <w:pPr>
              <w:pStyle w:val="TableBullet1"/>
            </w:pPr>
            <w:r w:rsidRPr="00EE7548">
              <w:t xml:space="preserve">Has sufficient time been built into each course to offer candidates the opportunities they need to apply what they have learned? </w:t>
            </w:r>
          </w:p>
          <w:p w:rsidR="00DF5097" w:rsidRPr="00EE7548" w:rsidRDefault="00DF5097" w:rsidP="00EE7548">
            <w:pPr>
              <w:pStyle w:val="TableBullet1"/>
            </w:pPr>
            <w:r w:rsidRPr="00EE7548">
              <w:t>Has sufficient time been built into the program—including in coursework and field experiences—to offer candidates the opportunities they need to apply what they have learned?</w:t>
            </w:r>
          </w:p>
        </w:tc>
        <w:tc>
          <w:tcPr>
            <w:tcW w:w="2256" w:type="dxa"/>
          </w:tcPr>
          <w:p w:rsidR="00DF5097" w:rsidRPr="00DF5097" w:rsidRDefault="00DF5097" w:rsidP="00DF5097">
            <w:pPr>
              <w:autoSpaceDE w:val="0"/>
              <w:autoSpaceDN w:val="0"/>
              <w:adjustRightInd w:val="0"/>
              <w:rPr>
                <w:rFonts w:ascii="Arial" w:eastAsiaTheme="minorEastAsia" w:hAnsi="Arial" w:cs="Arial"/>
              </w:rPr>
            </w:pPr>
          </w:p>
        </w:tc>
        <w:tc>
          <w:tcPr>
            <w:tcW w:w="2256" w:type="dxa"/>
          </w:tcPr>
          <w:p w:rsidR="00DF5097" w:rsidRPr="00DF5097" w:rsidRDefault="00DF5097" w:rsidP="00DF5097">
            <w:pPr>
              <w:autoSpaceDE w:val="0"/>
              <w:autoSpaceDN w:val="0"/>
              <w:adjustRightInd w:val="0"/>
              <w:rPr>
                <w:rFonts w:ascii="Arial" w:eastAsiaTheme="minorEastAsia" w:hAnsi="Arial" w:cs="Arial"/>
              </w:rPr>
            </w:pPr>
          </w:p>
        </w:tc>
        <w:tc>
          <w:tcPr>
            <w:tcW w:w="2256" w:type="dxa"/>
          </w:tcPr>
          <w:p w:rsidR="00DF5097" w:rsidRPr="00DF5097" w:rsidRDefault="00DF5097" w:rsidP="00DF5097">
            <w:pPr>
              <w:autoSpaceDE w:val="0"/>
              <w:autoSpaceDN w:val="0"/>
              <w:adjustRightInd w:val="0"/>
              <w:rPr>
                <w:rFonts w:ascii="Arial" w:eastAsiaTheme="minorEastAsia" w:hAnsi="Arial" w:cs="Arial"/>
              </w:rPr>
            </w:pPr>
          </w:p>
        </w:tc>
      </w:tr>
      <w:tr w:rsidR="00DF5097" w:rsidRPr="00DF5097" w:rsidTr="005B20F1">
        <w:trPr>
          <w:trHeight w:val="3068"/>
        </w:trPr>
        <w:tc>
          <w:tcPr>
            <w:tcW w:w="1984" w:type="dxa"/>
            <w:shd w:val="clear" w:color="auto" w:fill="EAEAEA"/>
          </w:tcPr>
          <w:p w:rsidR="00DF5097" w:rsidRPr="00DF5097" w:rsidRDefault="00DF5097" w:rsidP="00ED76E3">
            <w:pPr>
              <w:pStyle w:val="TableSubheading"/>
            </w:pPr>
            <w:r w:rsidRPr="00DF5097">
              <w:t>Coherence</w:t>
            </w:r>
          </w:p>
          <w:p w:rsidR="00DF5097" w:rsidRPr="00DF5097" w:rsidRDefault="00DF5097" w:rsidP="005B20F1">
            <w:pPr>
              <w:pStyle w:val="TableText"/>
            </w:pPr>
            <w:r w:rsidRPr="00DF5097">
              <w:rPr>
                <w:b/>
                <w:bCs/>
              </w:rPr>
              <w:t>Description:</w:t>
            </w:r>
            <w:r w:rsidRPr="00DF5097">
              <w:t xml:space="preserve"> High-quality and highly structured, practice-based opportunities are coordinated across the program.</w:t>
            </w:r>
          </w:p>
        </w:tc>
        <w:tc>
          <w:tcPr>
            <w:tcW w:w="3843" w:type="dxa"/>
            <w:shd w:val="clear" w:color="auto" w:fill="EAEAEA"/>
          </w:tcPr>
          <w:p w:rsidR="00DF5097" w:rsidRPr="00EE7548" w:rsidRDefault="00DF5097" w:rsidP="00EE7548">
            <w:pPr>
              <w:pStyle w:val="TableBullet1"/>
            </w:pPr>
            <w:r w:rsidRPr="00EE7548">
              <w:t>To what extent are opportunities to practice aligned with and coordinated across the breadth of the program, thus maintaining the through-line of expectations in content and pedagogical knowledge?</w:t>
            </w:r>
          </w:p>
          <w:p w:rsidR="00DF5097" w:rsidRPr="00EE7548" w:rsidRDefault="00DF5097" w:rsidP="00EE7548">
            <w:pPr>
              <w:pStyle w:val="TableBullet1"/>
            </w:pPr>
            <w:r w:rsidRPr="00EE7548">
              <w:t>To what extent does the program’s expectations of practice (content and pedagogical knowledge) align to local district needs and to expectations of practice in field-based settings (e.g., aligned observation rubrics, training for cooperating teachers)?</w:t>
            </w:r>
            <w:r w:rsidR="00525D7E">
              <w:t xml:space="preserve"> </w:t>
            </w:r>
          </w:p>
        </w:tc>
        <w:tc>
          <w:tcPr>
            <w:tcW w:w="2256" w:type="dxa"/>
          </w:tcPr>
          <w:p w:rsidR="00DF5097" w:rsidRPr="00DF5097" w:rsidRDefault="00DF5097" w:rsidP="00DF5097">
            <w:pPr>
              <w:autoSpaceDE w:val="0"/>
              <w:autoSpaceDN w:val="0"/>
              <w:adjustRightInd w:val="0"/>
              <w:rPr>
                <w:rFonts w:ascii="Arial" w:eastAsiaTheme="minorEastAsia" w:hAnsi="Arial" w:cs="Arial"/>
              </w:rPr>
            </w:pPr>
          </w:p>
        </w:tc>
        <w:tc>
          <w:tcPr>
            <w:tcW w:w="2256" w:type="dxa"/>
          </w:tcPr>
          <w:p w:rsidR="00DF5097" w:rsidRPr="00DF5097" w:rsidRDefault="00DF5097" w:rsidP="00DF5097">
            <w:pPr>
              <w:autoSpaceDE w:val="0"/>
              <w:autoSpaceDN w:val="0"/>
              <w:adjustRightInd w:val="0"/>
              <w:rPr>
                <w:rFonts w:ascii="Arial" w:eastAsiaTheme="minorEastAsia" w:hAnsi="Arial" w:cs="Arial"/>
              </w:rPr>
            </w:pPr>
          </w:p>
        </w:tc>
        <w:tc>
          <w:tcPr>
            <w:tcW w:w="2256" w:type="dxa"/>
          </w:tcPr>
          <w:p w:rsidR="00DF5097" w:rsidRPr="00DF5097" w:rsidRDefault="00DF5097" w:rsidP="00DF5097">
            <w:pPr>
              <w:autoSpaceDE w:val="0"/>
              <w:autoSpaceDN w:val="0"/>
              <w:adjustRightInd w:val="0"/>
              <w:rPr>
                <w:rFonts w:ascii="Arial" w:eastAsiaTheme="minorEastAsia" w:hAnsi="Arial" w:cs="Arial"/>
              </w:rPr>
            </w:pPr>
          </w:p>
        </w:tc>
      </w:tr>
    </w:tbl>
    <w:p w:rsidR="005B20F1" w:rsidRDefault="005B20F1" w:rsidP="006D1EB1">
      <w:pPr>
        <w:pStyle w:val="AIRLocations"/>
        <w:sectPr w:rsidR="005B20F1" w:rsidSect="00DF5097">
          <w:pgSz w:w="15840" w:h="12240" w:orient="landscape"/>
          <w:pgMar w:top="1080" w:right="1080" w:bottom="1440" w:left="1440" w:header="720" w:footer="720" w:gutter="0"/>
          <w:cols w:space="720"/>
          <w:noEndnote/>
          <w:docGrid w:linePitch="326"/>
        </w:sectPr>
      </w:pPr>
    </w:p>
    <w:p w:rsidR="00967EDB" w:rsidRPr="00967EDB" w:rsidRDefault="00967EDB" w:rsidP="00967EDB">
      <w:pPr>
        <w:pStyle w:val="Heading3"/>
        <w:spacing w:before="0"/>
        <w:rPr>
          <w:rFonts w:eastAsia="Calibri"/>
        </w:rPr>
      </w:pPr>
      <w:bookmarkStart w:id="9" w:name="_Toc455597969"/>
      <w:r w:rsidRPr="00967EDB">
        <w:rPr>
          <w:rFonts w:eastAsia="Calibri"/>
        </w:rPr>
        <w:lastRenderedPageBreak/>
        <w:t>Step 3: Analysis of Practice-Based Opportunities</w:t>
      </w:r>
      <w:bookmarkEnd w:id="9"/>
      <w:r w:rsidRPr="00967EDB">
        <w:rPr>
          <w:rFonts w:eastAsia="Calibri"/>
        </w:rPr>
        <w:t xml:space="preserve"> </w:t>
      </w:r>
    </w:p>
    <w:p w:rsidR="00967EDB" w:rsidRPr="00967EDB" w:rsidRDefault="00967EDB" w:rsidP="00967EDB">
      <w:pPr>
        <w:pStyle w:val="BodyText"/>
        <w:rPr>
          <w:rFonts w:eastAsia="Calibri" w:cstheme="majorHAnsi"/>
          <w:bCs/>
        </w:rPr>
      </w:pPr>
      <w:r w:rsidRPr="00967EDB">
        <w:rPr>
          <w:rFonts w:eastAsia="Calibri" w:cstheme="majorHAnsi"/>
          <w:bCs/>
        </w:rPr>
        <w:t>Step 3 involves engag</w:t>
      </w:r>
      <w:r w:rsidRPr="00967EDB">
        <w:t>ing in analysis of individual, practice-based opportunities provided to candidates within a specific course or related to a certain content area. This activity reflects implementation levels similar to those found in the CEEDAR Center’s ICs for course syllabi (</w:t>
      </w:r>
      <w:hyperlink r:id="rId30" w:history="1">
        <w:r w:rsidR="004A39D6" w:rsidRPr="003C6CF3">
          <w:rPr>
            <w:rStyle w:val="Hyperlink"/>
          </w:rPr>
          <w:t>http://ceedar.education.ufl.edu/tools/innovation-configurations/</w:t>
        </w:r>
      </w:hyperlink>
      <w:r w:rsidRPr="00967EDB">
        <w:t>), which can be used to identify gaps in coursework and field-experience syllabi and expectations. This step builds upon the previous steps and aids in assessing the manner in which the expectations of content and pedagogica</w:t>
      </w:r>
      <w:r w:rsidRPr="00967EDB">
        <w:rPr>
          <w:rFonts w:eastAsia="Calibri" w:cstheme="majorHAnsi"/>
          <w:bCs/>
        </w:rPr>
        <w:t>l knowledge are reinforced in practice-based opportunities that integrate the essential features of high-quality practice experiences:</w:t>
      </w:r>
    </w:p>
    <w:p w:rsidR="00967EDB" w:rsidRPr="00316234" w:rsidRDefault="00967EDB" w:rsidP="00EE7548">
      <w:pPr>
        <w:pStyle w:val="Bullet1"/>
      </w:pPr>
      <w:r w:rsidRPr="00967EDB">
        <w:rPr>
          <w:rFonts w:eastAsia="Calibri"/>
        </w:rPr>
        <w:t>M</w:t>
      </w:r>
      <w:r w:rsidRPr="00316234">
        <w:t>odeling</w:t>
      </w:r>
    </w:p>
    <w:p w:rsidR="00967EDB" w:rsidRPr="00316234" w:rsidRDefault="00967EDB" w:rsidP="00EE7548">
      <w:pPr>
        <w:pStyle w:val="Bullet1"/>
      </w:pPr>
      <w:r w:rsidRPr="00316234">
        <w:t xml:space="preserve">Spaced learning </w:t>
      </w:r>
    </w:p>
    <w:p w:rsidR="00967EDB" w:rsidRPr="00316234" w:rsidRDefault="00967EDB" w:rsidP="00EE7548">
      <w:pPr>
        <w:pStyle w:val="Bullet1"/>
      </w:pPr>
      <w:r w:rsidRPr="00316234">
        <w:t xml:space="preserve">Varied learning opportunities </w:t>
      </w:r>
    </w:p>
    <w:p w:rsidR="00967EDB" w:rsidRPr="00316234" w:rsidRDefault="00967EDB" w:rsidP="00EE7548">
      <w:pPr>
        <w:pStyle w:val="Bullet1"/>
      </w:pPr>
      <w:r w:rsidRPr="00316234">
        <w:t xml:space="preserve">Coaching and feedback </w:t>
      </w:r>
    </w:p>
    <w:p w:rsidR="00967EDB" w:rsidRPr="00316234" w:rsidRDefault="00967EDB" w:rsidP="00EE7548">
      <w:pPr>
        <w:pStyle w:val="Bullet1"/>
      </w:pPr>
      <w:r w:rsidRPr="00316234">
        <w:t xml:space="preserve">Analyzing and reflecting </w:t>
      </w:r>
    </w:p>
    <w:p w:rsidR="00967EDB" w:rsidRPr="00316234" w:rsidRDefault="00967EDB" w:rsidP="00EE7548">
      <w:pPr>
        <w:pStyle w:val="Bullet1"/>
      </w:pPr>
      <w:r w:rsidRPr="00316234">
        <w:t xml:space="preserve">Scaffolding </w:t>
      </w:r>
    </w:p>
    <w:p w:rsidR="00967EDB" w:rsidRPr="00967EDB" w:rsidRDefault="00967EDB" w:rsidP="00967EDB">
      <w:pPr>
        <w:pStyle w:val="BodyText"/>
        <w:rPr>
          <w:rFonts w:eastAsia="Calibri"/>
        </w:rPr>
      </w:pPr>
      <w:r>
        <w:rPr>
          <w:rFonts w:eastAsia="Calibri"/>
        </w:rPr>
        <w:br w:type="column"/>
      </w:r>
      <w:r w:rsidRPr="00967EDB">
        <w:rPr>
          <w:rFonts w:eastAsia="Calibri"/>
        </w:rPr>
        <w:lastRenderedPageBreak/>
        <w:t>To complete Step 3, program faculty will use the guiding questions to assess course syllabi, including the assignments and assessments, to determine the extent to which the essential features of high-quality, practice-based opportunities are implemented. Table 3 is a tool designed to support program faculty to complete this step.</w:t>
      </w:r>
    </w:p>
    <w:p w:rsidR="00787A89" w:rsidRDefault="00967EDB" w:rsidP="00967EDB">
      <w:pPr>
        <w:pStyle w:val="BodyText"/>
        <w:rPr>
          <w:rFonts w:eastAsia="Calibri"/>
        </w:rPr>
      </w:pPr>
      <w:r w:rsidRPr="00967EDB">
        <w:rPr>
          <w:rFonts w:eastAsia="Calibri"/>
        </w:rPr>
        <w:t>Please keep in mind the results recorded in Table 2 so that any gaps noted in focus, duration, and coherence are considered within ea</w:t>
      </w:r>
      <w:r>
        <w:rPr>
          <w:rFonts w:eastAsia="Calibri"/>
        </w:rPr>
        <w:t>ch course and field experience.</w:t>
      </w:r>
    </w:p>
    <w:p w:rsidR="00967EDB" w:rsidRDefault="00967EDB" w:rsidP="00967EDB">
      <w:pPr>
        <w:pStyle w:val="BodyText"/>
        <w:rPr>
          <w:rFonts w:eastAsia="Calibri"/>
        </w:rPr>
        <w:sectPr w:rsidR="00967EDB" w:rsidSect="00967EDB">
          <w:pgSz w:w="15840" w:h="12240" w:orient="landscape"/>
          <w:pgMar w:top="1080" w:right="1080" w:bottom="1440" w:left="1440" w:header="720" w:footer="720" w:gutter="0"/>
          <w:cols w:num="3" w:space="720"/>
          <w:noEndnote/>
          <w:docGrid w:linePitch="326"/>
        </w:sectPr>
      </w:pPr>
    </w:p>
    <w:p w:rsidR="00967EDB" w:rsidRPr="00967EDB" w:rsidRDefault="00967EDB" w:rsidP="00316234">
      <w:pPr>
        <w:pStyle w:val="TableTitle"/>
        <w:spacing w:before="0"/>
      </w:pPr>
      <w:r>
        <w:lastRenderedPageBreak/>
        <w:t>T</w:t>
      </w:r>
      <w:r w:rsidRPr="00967EDB">
        <w:t xml:space="preserve">able 3: Analysis of Practice-Based Opportunities </w:t>
      </w:r>
    </w:p>
    <w:tbl>
      <w:tblPr>
        <w:tblStyle w:val="GTLTable1"/>
        <w:tblW w:w="5000" w:type="pct"/>
        <w:jc w:val="center"/>
        <w:tblLayout w:type="fixed"/>
        <w:tblLook w:val="0620" w:firstRow="1" w:lastRow="0" w:firstColumn="0" w:lastColumn="0" w:noHBand="1" w:noVBand="1"/>
      </w:tblPr>
      <w:tblGrid>
        <w:gridCol w:w="1459"/>
        <w:gridCol w:w="3753"/>
        <w:gridCol w:w="8324"/>
      </w:tblGrid>
      <w:tr w:rsidR="00967EDB" w:rsidRPr="00967EDB" w:rsidTr="00316234">
        <w:trPr>
          <w:cnfStyle w:val="100000000000" w:firstRow="1" w:lastRow="0" w:firstColumn="0" w:lastColumn="0" w:oddVBand="0" w:evenVBand="0" w:oddHBand="0" w:evenHBand="0" w:firstRowFirstColumn="0" w:firstRowLastColumn="0" w:lastRowFirstColumn="0" w:lastRowLastColumn="0"/>
          <w:trHeight w:val="60"/>
          <w:jc w:val="center"/>
        </w:trPr>
        <w:tc>
          <w:tcPr>
            <w:tcW w:w="5125" w:type="dxa"/>
            <w:gridSpan w:val="2"/>
          </w:tcPr>
          <w:p w:rsidR="00967EDB" w:rsidRPr="00967EDB" w:rsidRDefault="00967EDB" w:rsidP="00967EDB">
            <w:pPr>
              <w:pStyle w:val="TableColumnHeadLeft"/>
              <w:rPr>
                <w:rFonts w:eastAsiaTheme="minorEastAsia"/>
              </w:rPr>
            </w:pPr>
            <w:r w:rsidRPr="00967EDB">
              <w:rPr>
                <w:rFonts w:eastAsiaTheme="minorEastAsia"/>
              </w:rPr>
              <w:t>Essential Features of High-Quality, Practice-Based Opportunities</w:t>
            </w:r>
          </w:p>
        </w:tc>
        <w:tc>
          <w:tcPr>
            <w:tcW w:w="8185" w:type="dxa"/>
          </w:tcPr>
          <w:p w:rsidR="00967EDB" w:rsidRPr="00967EDB" w:rsidRDefault="00967EDB" w:rsidP="00967EDB">
            <w:pPr>
              <w:pStyle w:val="TableColumnHeadLeft"/>
              <w:rPr>
                <w:rFonts w:eastAsiaTheme="minorEastAsia"/>
              </w:rPr>
            </w:pPr>
            <w:r w:rsidRPr="00967EDB">
              <w:rPr>
                <w:rFonts w:eastAsiaTheme="minorEastAsia"/>
              </w:rPr>
              <w:t>Questions for Consideration</w:t>
            </w:r>
          </w:p>
        </w:tc>
      </w:tr>
      <w:tr w:rsidR="00967EDB" w:rsidRPr="00967EDB" w:rsidTr="00316234">
        <w:trPr>
          <w:trHeight w:val="1235"/>
          <w:jc w:val="center"/>
        </w:trPr>
        <w:tc>
          <w:tcPr>
            <w:tcW w:w="1435" w:type="dxa"/>
            <w:shd w:val="clear" w:color="auto" w:fill="EAEAEA"/>
          </w:tcPr>
          <w:p w:rsidR="00967EDB" w:rsidRPr="00967EDB" w:rsidRDefault="00967EDB" w:rsidP="00967EDB">
            <w:pPr>
              <w:pStyle w:val="TableText"/>
              <w:rPr>
                <w:b/>
              </w:rPr>
            </w:pPr>
            <w:r w:rsidRPr="00967EDB">
              <w:rPr>
                <w:b/>
              </w:rPr>
              <w:t>Modeling (M)</w:t>
            </w:r>
          </w:p>
        </w:tc>
        <w:tc>
          <w:tcPr>
            <w:tcW w:w="3690" w:type="dxa"/>
            <w:shd w:val="clear" w:color="auto" w:fill="EAEAEA"/>
          </w:tcPr>
          <w:p w:rsidR="00967EDB" w:rsidRPr="00967EDB" w:rsidRDefault="00967EDB" w:rsidP="00967EDB">
            <w:pPr>
              <w:pStyle w:val="TableText"/>
            </w:pPr>
            <w:r w:rsidRPr="00967EDB">
              <w:t>Demonstration of how to design, enact, and evaluate instruction is provided to candidates through multiples means (e.g., faculty or peer demonstration, videos).</w:t>
            </w:r>
          </w:p>
        </w:tc>
        <w:tc>
          <w:tcPr>
            <w:tcW w:w="8185" w:type="dxa"/>
            <w:shd w:val="clear" w:color="auto" w:fill="EAEAEA"/>
          </w:tcPr>
          <w:p w:rsidR="00967EDB" w:rsidRPr="00316234" w:rsidRDefault="00967EDB" w:rsidP="00EE7548">
            <w:pPr>
              <w:pStyle w:val="TableBullet1"/>
            </w:pPr>
            <w:r w:rsidRPr="00316234">
              <w:t xml:space="preserve">To what extent do teacher educators model effective strategies and routines for teacher candidates? </w:t>
            </w:r>
          </w:p>
          <w:p w:rsidR="00967EDB" w:rsidRPr="00316234" w:rsidRDefault="00967EDB" w:rsidP="00EE7548">
            <w:pPr>
              <w:pStyle w:val="TableBullet1"/>
            </w:pPr>
            <w:r w:rsidRPr="00316234">
              <w:t>What opportunities are candidates provided to observe and analyze expert teachers participating in curriculum planning, teaching, collaborative data analysis, and analysis of instruction?</w:t>
            </w:r>
          </w:p>
        </w:tc>
      </w:tr>
      <w:tr w:rsidR="00967EDB" w:rsidRPr="00967EDB" w:rsidTr="00316234">
        <w:trPr>
          <w:trHeight w:val="1241"/>
          <w:jc w:val="center"/>
        </w:trPr>
        <w:tc>
          <w:tcPr>
            <w:tcW w:w="1435" w:type="dxa"/>
            <w:shd w:val="clear" w:color="auto" w:fill="EAEAEA"/>
          </w:tcPr>
          <w:p w:rsidR="00967EDB" w:rsidRPr="00967EDB" w:rsidRDefault="00967EDB" w:rsidP="00967EDB">
            <w:pPr>
              <w:pStyle w:val="TableText"/>
              <w:rPr>
                <w:b/>
              </w:rPr>
            </w:pPr>
            <w:r w:rsidRPr="00967EDB">
              <w:rPr>
                <w:b/>
              </w:rPr>
              <w:t>Spaced Learning (SP)</w:t>
            </w:r>
          </w:p>
        </w:tc>
        <w:tc>
          <w:tcPr>
            <w:tcW w:w="3690" w:type="dxa"/>
            <w:shd w:val="clear" w:color="auto" w:fill="EAEAEA"/>
          </w:tcPr>
          <w:p w:rsidR="00967EDB" w:rsidRPr="00967EDB" w:rsidRDefault="00967EDB" w:rsidP="00967EDB">
            <w:pPr>
              <w:pStyle w:val="TableText"/>
            </w:pPr>
            <w:r w:rsidRPr="00967EDB">
              <w:t>Candidates are provided sustained and repeated opportunities to practice knowledge and skills acquired in coursework. Opportunities are scaffolded to deepen knowledge and skills over time.</w:t>
            </w:r>
          </w:p>
        </w:tc>
        <w:tc>
          <w:tcPr>
            <w:tcW w:w="8185" w:type="dxa"/>
            <w:shd w:val="clear" w:color="auto" w:fill="EAEAEA"/>
          </w:tcPr>
          <w:p w:rsidR="00967EDB" w:rsidRPr="00316234" w:rsidRDefault="00967EDB" w:rsidP="00EE7548">
            <w:pPr>
              <w:pStyle w:val="TableBullet1"/>
            </w:pPr>
            <w:r w:rsidRPr="00316234">
              <w:t>To what extent are practice-based opportunities provided immediately after knowledge and skills have been acquired?</w:t>
            </w:r>
          </w:p>
          <w:p w:rsidR="00967EDB" w:rsidRPr="00316234" w:rsidRDefault="00967EDB" w:rsidP="00EE7548">
            <w:pPr>
              <w:pStyle w:val="TableBullet1"/>
            </w:pPr>
            <w:r w:rsidRPr="00316234">
              <w:t>To what extent does the program offer multiple, practice-based opportunities to practice skills? How well are these practice-based opportunities scaffolded to deepen expertise over time?</w:t>
            </w:r>
          </w:p>
        </w:tc>
      </w:tr>
      <w:tr w:rsidR="00967EDB" w:rsidRPr="00967EDB" w:rsidTr="00316234">
        <w:trPr>
          <w:trHeight w:val="60"/>
          <w:jc w:val="center"/>
        </w:trPr>
        <w:tc>
          <w:tcPr>
            <w:tcW w:w="1435" w:type="dxa"/>
            <w:shd w:val="clear" w:color="auto" w:fill="EAEAEA"/>
          </w:tcPr>
          <w:p w:rsidR="00967EDB" w:rsidRPr="00967EDB" w:rsidRDefault="00967EDB" w:rsidP="00967EDB">
            <w:pPr>
              <w:pStyle w:val="TableText"/>
              <w:rPr>
                <w:b/>
              </w:rPr>
            </w:pPr>
            <w:r w:rsidRPr="00967EDB">
              <w:rPr>
                <w:b/>
              </w:rPr>
              <w:t>Varied Learning Opportunities (V)</w:t>
            </w:r>
          </w:p>
        </w:tc>
        <w:tc>
          <w:tcPr>
            <w:tcW w:w="3690" w:type="dxa"/>
            <w:shd w:val="clear" w:color="auto" w:fill="EAEAEA"/>
          </w:tcPr>
          <w:p w:rsidR="00967EDB" w:rsidRPr="00967EDB" w:rsidRDefault="00967EDB" w:rsidP="00967EDB">
            <w:pPr>
              <w:pStyle w:val="TableText"/>
            </w:pPr>
            <w:r w:rsidRPr="00967EDB">
              <w:t>Candidates are provided practice-based opportunities in which they are expected to employ strategies in varying contexts, with a diverse range of students, and under different leadership support.</w:t>
            </w:r>
          </w:p>
        </w:tc>
        <w:tc>
          <w:tcPr>
            <w:tcW w:w="8185" w:type="dxa"/>
            <w:shd w:val="clear" w:color="auto" w:fill="EAEAEA"/>
          </w:tcPr>
          <w:p w:rsidR="00967EDB" w:rsidRPr="00316234" w:rsidRDefault="00967EDB" w:rsidP="00EE7548">
            <w:pPr>
              <w:pStyle w:val="TableBullet1"/>
            </w:pPr>
            <w:r w:rsidRPr="00316234">
              <w:t>To what extent are candidates offered practice-based opportunities that vary in context (e.g.</w:t>
            </w:r>
            <w:r w:rsidR="00BF1FA8">
              <w:t>,</w:t>
            </w:r>
            <w:r w:rsidRPr="00316234">
              <w:t xml:space="preserve"> service delivery models, school demographics), student populations, and under different leadership support?</w:t>
            </w:r>
          </w:p>
        </w:tc>
      </w:tr>
      <w:tr w:rsidR="00967EDB" w:rsidRPr="00967EDB" w:rsidTr="00316234">
        <w:trPr>
          <w:trHeight w:val="60"/>
          <w:jc w:val="center"/>
        </w:trPr>
        <w:tc>
          <w:tcPr>
            <w:tcW w:w="1435" w:type="dxa"/>
            <w:shd w:val="clear" w:color="auto" w:fill="EAEAEA"/>
          </w:tcPr>
          <w:p w:rsidR="00967EDB" w:rsidRPr="00967EDB" w:rsidRDefault="00967EDB" w:rsidP="00967EDB">
            <w:pPr>
              <w:pStyle w:val="TableText"/>
              <w:rPr>
                <w:b/>
              </w:rPr>
            </w:pPr>
            <w:r w:rsidRPr="00967EDB">
              <w:rPr>
                <w:b/>
              </w:rPr>
              <w:t>Coaching and Feedback (C)</w:t>
            </w:r>
          </w:p>
        </w:tc>
        <w:tc>
          <w:tcPr>
            <w:tcW w:w="3690" w:type="dxa"/>
            <w:shd w:val="clear" w:color="auto" w:fill="EAEAEA"/>
          </w:tcPr>
          <w:p w:rsidR="00967EDB" w:rsidRPr="00967EDB" w:rsidRDefault="00967EDB" w:rsidP="00967EDB">
            <w:pPr>
              <w:pStyle w:val="TableText"/>
            </w:pPr>
            <w:r w:rsidRPr="00967EDB">
              <w:t>Practice-based opportunities integrate explicit coaching and feedback for candidates regarding their practice and provide them with the means for improvement.</w:t>
            </w:r>
          </w:p>
        </w:tc>
        <w:tc>
          <w:tcPr>
            <w:tcW w:w="8185" w:type="dxa"/>
            <w:shd w:val="clear" w:color="auto" w:fill="EAEAEA"/>
          </w:tcPr>
          <w:p w:rsidR="00967EDB" w:rsidRPr="00316234" w:rsidRDefault="00967EDB" w:rsidP="00EE7548">
            <w:pPr>
              <w:pStyle w:val="TableBullet1"/>
            </w:pPr>
            <w:r w:rsidRPr="00316234">
              <w:t>Have coaching and feedback been established as an expectation within practice-based opportunities across coursework and field experiences?</w:t>
            </w:r>
          </w:p>
          <w:p w:rsidR="00967EDB" w:rsidRPr="00316234" w:rsidRDefault="00967EDB" w:rsidP="00EE7548">
            <w:pPr>
              <w:pStyle w:val="TableBullet1"/>
            </w:pPr>
            <w:r w:rsidRPr="00316234">
              <w:t>Has training been provided for personnel who are expected to provide coaching and feedback?</w:t>
            </w:r>
          </w:p>
          <w:p w:rsidR="00967EDB" w:rsidRPr="00316234" w:rsidRDefault="00967EDB" w:rsidP="00EE7548">
            <w:pPr>
              <w:pStyle w:val="TableBullet1"/>
            </w:pPr>
            <w:r w:rsidRPr="00316234">
              <w:t>Have processes been established (e.g., feedback guidance and protocols) for use within practice-based opportunities?</w:t>
            </w:r>
          </w:p>
          <w:p w:rsidR="00967EDB" w:rsidRPr="00316234" w:rsidRDefault="00967EDB" w:rsidP="00EE7548">
            <w:pPr>
              <w:pStyle w:val="TableBullet1"/>
            </w:pPr>
            <w:r w:rsidRPr="00316234">
              <w:t>Do candidates gain practice in providing coaching and feedback within coursework and field experiences?</w:t>
            </w:r>
          </w:p>
        </w:tc>
      </w:tr>
      <w:tr w:rsidR="00967EDB" w:rsidRPr="00967EDB" w:rsidTr="00316234">
        <w:trPr>
          <w:trHeight w:val="60"/>
          <w:jc w:val="center"/>
        </w:trPr>
        <w:tc>
          <w:tcPr>
            <w:tcW w:w="1435" w:type="dxa"/>
            <w:shd w:val="clear" w:color="auto" w:fill="EAEAEA"/>
          </w:tcPr>
          <w:p w:rsidR="00967EDB" w:rsidRPr="00967EDB" w:rsidRDefault="00967EDB" w:rsidP="00967EDB">
            <w:pPr>
              <w:pStyle w:val="TableText"/>
              <w:rPr>
                <w:b/>
              </w:rPr>
            </w:pPr>
            <w:r w:rsidRPr="00967EDB">
              <w:rPr>
                <w:b/>
              </w:rPr>
              <w:t>Analyzing and Reflecting (A)</w:t>
            </w:r>
          </w:p>
        </w:tc>
        <w:tc>
          <w:tcPr>
            <w:tcW w:w="3690" w:type="dxa"/>
            <w:shd w:val="clear" w:color="auto" w:fill="EAEAEA"/>
          </w:tcPr>
          <w:p w:rsidR="00967EDB" w:rsidRPr="00967EDB" w:rsidRDefault="00967EDB" w:rsidP="00967EDB">
            <w:pPr>
              <w:pStyle w:val="TableText"/>
            </w:pPr>
            <w:r w:rsidRPr="00967EDB">
              <w:t>Practice-based opportunities establish expectations and processes for candidates to analyze and reflect upon their practice, their impact on student learning, and any necessary modifications.</w:t>
            </w:r>
          </w:p>
        </w:tc>
        <w:tc>
          <w:tcPr>
            <w:tcW w:w="8185" w:type="dxa"/>
            <w:shd w:val="clear" w:color="auto" w:fill="EAEAEA"/>
          </w:tcPr>
          <w:p w:rsidR="00967EDB" w:rsidRPr="00316234" w:rsidRDefault="00967EDB" w:rsidP="00EE7548">
            <w:pPr>
              <w:pStyle w:val="TableBullet1"/>
            </w:pPr>
            <w:r w:rsidRPr="00316234">
              <w:t>Is there a structure in place for engaging candidates in analysis and reflection and for adapting and modifying practice accordingly?</w:t>
            </w:r>
          </w:p>
          <w:p w:rsidR="00967EDB" w:rsidRPr="00316234" w:rsidRDefault="00967EDB" w:rsidP="00EE7548">
            <w:pPr>
              <w:pStyle w:val="TableBullet1"/>
            </w:pPr>
            <w:r w:rsidRPr="00316234">
              <w:t>Are candidates provided opportunities to collaboratively analyze student learning data and to use these findings to revise processes, curriculum, and instruction?</w:t>
            </w:r>
          </w:p>
          <w:p w:rsidR="00967EDB" w:rsidRPr="00316234" w:rsidRDefault="00967EDB" w:rsidP="00EE7548">
            <w:pPr>
              <w:pStyle w:val="TableBullet1"/>
            </w:pPr>
            <w:r w:rsidRPr="00316234">
              <w:t>Is there a structure in place to prompt and target candidate reflection on specific elements of evidence-based or high-leverage instructional practices?</w:t>
            </w:r>
          </w:p>
        </w:tc>
      </w:tr>
      <w:tr w:rsidR="00967EDB" w:rsidRPr="00967EDB" w:rsidTr="00316234">
        <w:trPr>
          <w:trHeight w:val="60"/>
          <w:jc w:val="center"/>
        </w:trPr>
        <w:tc>
          <w:tcPr>
            <w:tcW w:w="1435" w:type="dxa"/>
            <w:shd w:val="clear" w:color="auto" w:fill="EAEAEA"/>
          </w:tcPr>
          <w:p w:rsidR="00967EDB" w:rsidRPr="00967EDB" w:rsidRDefault="00967EDB" w:rsidP="00967EDB">
            <w:pPr>
              <w:pStyle w:val="TableText"/>
              <w:rPr>
                <w:b/>
              </w:rPr>
            </w:pPr>
            <w:r w:rsidRPr="00967EDB">
              <w:rPr>
                <w:b/>
              </w:rPr>
              <w:t>Scaffolding (S)</w:t>
            </w:r>
          </w:p>
        </w:tc>
        <w:tc>
          <w:tcPr>
            <w:tcW w:w="3690" w:type="dxa"/>
            <w:shd w:val="clear" w:color="auto" w:fill="EAEAEA"/>
          </w:tcPr>
          <w:p w:rsidR="00967EDB" w:rsidRPr="00967EDB" w:rsidRDefault="00967EDB" w:rsidP="00967EDB">
            <w:pPr>
              <w:pStyle w:val="TableText"/>
            </w:pPr>
            <w:r w:rsidRPr="00967EDB">
              <w:t>Candidates are provided with guidance and supports for improving practice, both of which are incrementally removed to promote independence and foster the development of expertise over time.</w:t>
            </w:r>
          </w:p>
        </w:tc>
        <w:tc>
          <w:tcPr>
            <w:tcW w:w="8185" w:type="dxa"/>
            <w:shd w:val="clear" w:color="auto" w:fill="EAEAEA"/>
          </w:tcPr>
          <w:p w:rsidR="00967EDB" w:rsidRPr="00316234" w:rsidRDefault="00967EDB" w:rsidP="00EE7548">
            <w:pPr>
              <w:pStyle w:val="TableBullet1"/>
            </w:pPr>
            <w:r w:rsidRPr="00316234">
              <w:t>Are candidates provided with more supports in the initial stages of their program, and are supports gradually removed as candidates progress and expertise is cultivated?</w:t>
            </w:r>
          </w:p>
          <w:p w:rsidR="00967EDB" w:rsidRPr="00316234" w:rsidRDefault="00967EDB" w:rsidP="00EE7548">
            <w:pPr>
              <w:pStyle w:val="TableBullet1"/>
            </w:pPr>
            <w:r w:rsidRPr="00316234">
              <w:t>Is the program designed to gradually increase candidates’ exposure to complex content, context, and student populations?</w:t>
            </w:r>
          </w:p>
        </w:tc>
      </w:tr>
    </w:tbl>
    <w:p w:rsidR="00967EDB" w:rsidRPr="00967EDB" w:rsidRDefault="00967EDB" w:rsidP="00967EDB">
      <w:pPr>
        <w:pStyle w:val="BodyText"/>
      </w:pPr>
      <w:r w:rsidRPr="00967EDB">
        <w:rPr>
          <w:b/>
          <w:bCs/>
        </w:rPr>
        <w:t>Instructions:</w:t>
      </w:r>
      <w:r w:rsidRPr="00967EDB">
        <w:t xml:space="preserve"> In your review of coursework and field experience expectations, indicate to what extent specific coursework and field </w:t>
      </w:r>
      <w:r w:rsidRPr="00967EDB">
        <w:rPr>
          <w:spacing w:val="2"/>
        </w:rPr>
        <w:t xml:space="preserve">experiences </w:t>
      </w:r>
      <w:r w:rsidRPr="00967EDB">
        <w:t>integrate the essential features within practice-based opportunities by checking the essential features present as described on the preceding page; then select the integration level.</w:t>
      </w:r>
    </w:p>
    <w:p w:rsidR="00F16E82" w:rsidRDefault="00F16E82" w:rsidP="00967EDB">
      <w:pPr>
        <w:pStyle w:val="BodyText"/>
        <w:rPr>
          <w:rFonts w:eastAsia="Calibri"/>
        </w:rPr>
        <w:sectPr w:rsidR="00F16E82" w:rsidSect="00F16E82">
          <w:pgSz w:w="15840" w:h="12240" w:orient="landscape"/>
          <w:pgMar w:top="1080" w:right="1080" w:bottom="1440" w:left="1440" w:header="720" w:footer="720" w:gutter="0"/>
          <w:cols w:space="720"/>
          <w:noEndnote/>
          <w:docGrid w:linePitch="326"/>
        </w:sectPr>
      </w:pPr>
    </w:p>
    <w:tbl>
      <w:tblPr>
        <w:tblStyle w:val="GTLTable1"/>
        <w:tblW w:w="5000" w:type="pct"/>
        <w:jc w:val="center"/>
        <w:tblLayout w:type="fixed"/>
        <w:tblCellMar>
          <w:top w:w="58" w:type="dxa"/>
          <w:left w:w="58" w:type="dxa"/>
          <w:bottom w:w="58" w:type="dxa"/>
          <w:right w:w="58" w:type="dxa"/>
        </w:tblCellMar>
        <w:tblLook w:val="0620" w:firstRow="1" w:lastRow="0" w:firstColumn="0" w:lastColumn="0" w:noHBand="1" w:noVBand="1"/>
      </w:tblPr>
      <w:tblGrid>
        <w:gridCol w:w="4175"/>
        <w:gridCol w:w="455"/>
        <w:gridCol w:w="455"/>
        <w:gridCol w:w="454"/>
        <w:gridCol w:w="454"/>
        <w:gridCol w:w="454"/>
        <w:gridCol w:w="454"/>
        <w:gridCol w:w="1633"/>
        <w:gridCol w:w="1634"/>
        <w:gridCol w:w="1634"/>
        <w:gridCol w:w="1634"/>
      </w:tblGrid>
      <w:tr w:rsidR="00F16E82" w:rsidRPr="00F16E82" w:rsidTr="00316234">
        <w:trPr>
          <w:cnfStyle w:val="100000000000" w:firstRow="1" w:lastRow="0" w:firstColumn="0" w:lastColumn="0" w:oddVBand="0" w:evenVBand="0" w:oddHBand="0" w:evenHBand="0" w:firstRowFirstColumn="0" w:firstRowLastColumn="0" w:lastRowFirstColumn="0" w:lastRowLastColumn="0"/>
          <w:trHeight w:val="60"/>
          <w:tblHeader/>
          <w:jc w:val="center"/>
        </w:trPr>
        <w:tc>
          <w:tcPr>
            <w:tcW w:w="4135" w:type="dxa"/>
          </w:tcPr>
          <w:p w:rsidR="00F16E82" w:rsidRPr="00F16E82" w:rsidRDefault="00F16E82" w:rsidP="00F16E82">
            <w:pPr>
              <w:pStyle w:val="TableColumnHeadCentered"/>
              <w:rPr>
                <w:rFonts w:eastAsiaTheme="minorEastAsia"/>
              </w:rPr>
            </w:pPr>
          </w:p>
        </w:tc>
        <w:tc>
          <w:tcPr>
            <w:tcW w:w="2700" w:type="dxa"/>
            <w:gridSpan w:val="6"/>
          </w:tcPr>
          <w:p w:rsidR="00F16E82" w:rsidRPr="00F16E82" w:rsidRDefault="00F16E82" w:rsidP="00F16E82">
            <w:pPr>
              <w:pStyle w:val="TableColumnHeadCentered"/>
              <w:rPr>
                <w:rFonts w:eastAsiaTheme="minorEastAsia" w:cs="Arial Narrow"/>
                <w:color w:val="FFFFFF"/>
                <w:sz w:val="19"/>
                <w:szCs w:val="19"/>
              </w:rPr>
            </w:pPr>
            <w:r w:rsidRPr="00F16E82">
              <w:rPr>
                <w:rFonts w:eastAsiaTheme="minorEastAsia" w:cs="Arial Narrow"/>
                <w:color w:val="FFFFFF"/>
                <w:sz w:val="19"/>
                <w:szCs w:val="19"/>
              </w:rPr>
              <w:t>Essential Features</w:t>
            </w:r>
          </w:p>
        </w:tc>
        <w:tc>
          <w:tcPr>
            <w:tcW w:w="6475" w:type="dxa"/>
            <w:gridSpan w:val="4"/>
          </w:tcPr>
          <w:p w:rsidR="00F16E82" w:rsidRPr="00F16E82" w:rsidRDefault="00F16E82" w:rsidP="00F16E82">
            <w:pPr>
              <w:pStyle w:val="TableColumnHeadCentered"/>
              <w:rPr>
                <w:rFonts w:eastAsiaTheme="minorEastAsia" w:cs="Arial Narrow"/>
                <w:color w:val="FFFFFF"/>
                <w:sz w:val="19"/>
                <w:szCs w:val="19"/>
              </w:rPr>
            </w:pPr>
            <w:r w:rsidRPr="00F16E82">
              <w:rPr>
                <w:rFonts w:eastAsiaTheme="minorEastAsia" w:cs="Arial Narrow"/>
                <w:color w:val="FFFFFF"/>
                <w:sz w:val="19"/>
                <w:szCs w:val="19"/>
              </w:rPr>
              <w:t>Integration Level</w:t>
            </w:r>
          </w:p>
        </w:tc>
      </w:tr>
      <w:tr w:rsidR="00316234" w:rsidRPr="00F16E82" w:rsidTr="00EE7548">
        <w:trPr>
          <w:cnfStyle w:val="100000000000" w:firstRow="1" w:lastRow="0" w:firstColumn="0" w:lastColumn="0" w:oddVBand="0" w:evenVBand="0" w:oddHBand="0" w:evenHBand="0" w:firstRowFirstColumn="0" w:firstRowLastColumn="0" w:lastRowFirstColumn="0" w:lastRowLastColumn="0"/>
          <w:trHeight w:val="1134"/>
          <w:tblHeader/>
          <w:jc w:val="center"/>
        </w:trPr>
        <w:tc>
          <w:tcPr>
            <w:tcW w:w="4135" w:type="dxa"/>
            <w:vAlign w:val="bottom"/>
          </w:tcPr>
          <w:p w:rsidR="00F16E82" w:rsidRPr="00F16E82" w:rsidRDefault="00F16E82" w:rsidP="00F16E82">
            <w:pPr>
              <w:pStyle w:val="TableColumnHeadCentered"/>
              <w:rPr>
                <w:rFonts w:eastAsiaTheme="minorEastAsia" w:cs="Arial Narrow"/>
                <w:color w:val="FFFFFF"/>
                <w:sz w:val="19"/>
                <w:szCs w:val="19"/>
              </w:rPr>
            </w:pPr>
            <w:r w:rsidRPr="00F16E82">
              <w:rPr>
                <w:rFonts w:eastAsiaTheme="minorEastAsia" w:cs="Arial Narrow"/>
                <w:color w:val="FFFFFF"/>
                <w:sz w:val="19"/>
                <w:szCs w:val="19"/>
              </w:rPr>
              <w:t>Course/Field Experience</w:t>
            </w:r>
          </w:p>
        </w:tc>
        <w:tc>
          <w:tcPr>
            <w:tcW w:w="450" w:type="dxa"/>
            <w:textDirection w:val="btLr"/>
          </w:tcPr>
          <w:p w:rsidR="00F16E82" w:rsidRPr="00F16E82" w:rsidRDefault="00F16E82" w:rsidP="00F16E82">
            <w:pPr>
              <w:pStyle w:val="TableColumnHeadCentered"/>
              <w:jc w:val="left"/>
              <w:rPr>
                <w:rFonts w:eastAsiaTheme="minorEastAsia" w:cs="Arial Narrow"/>
                <w:color w:val="FFFFFF"/>
                <w:sz w:val="19"/>
                <w:szCs w:val="19"/>
              </w:rPr>
            </w:pPr>
            <w:r w:rsidRPr="00F16E82">
              <w:rPr>
                <w:rFonts w:eastAsiaTheme="minorEastAsia" w:cs="Arial Narrow"/>
                <w:color w:val="FFFFFF"/>
                <w:sz w:val="19"/>
                <w:szCs w:val="19"/>
              </w:rPr>
              <w:t>Modeling</w:t>
            </w:r>
          </w:p>
        </w:tc>
        <w:tc>
          <w:tcPr>
            <w:tcW w:w="450" w:type="dxa"/>
            <w:textDirection w:val="btLr"/>
          </w:tcPr>
          <w:p w:rsidR="00F16E82" w:rsidRPr="00F16E82" w:rsidRDefault="00F16E82" w:rsidP="00F16E82">
            <w:pPr>
              <w:pStyle w:val="TableColumnHeadCentered"/>
              <w:jc w:val="left"/>
              <w:rPr>
                <w:rFonts w:eastAsiaTheme="minorEastAsia" w:cs="Arial Narrow"/>
                <w:color w:val="FFFFFF"/>
                <w:sz w:val="19"/>
                <w:szCs w:val="19"/>
              </w:rPr>
            </w:pPr>
            <w:r w:rsidRPr="00F16E82">
              <w:rPr>
                <w:rFonts w:eastAsiaTheme="minorEastAsia" w:cs="Arial Narrow"/>
                <w:color w:val="FFFFFF"/>
                <w:sz w:val="19"/>
                <w:szCs w:val="19"/>
              </w:rPr>
              <w:t>Spaced</w:t>
            </w:r>
          </w:p>
        </w:tc>
        <w:tc>
          <w:tcPr>
            <w:tcW w:w="450" w:type="dxa"/>
            <w:textDirection w:val="btLr"/>
          </w:tcPr>
          <w:p w:rsidR="00F16E82" w:rsidRPr="00F16E82" w:rsidRDefault="00F16E82" w:rsidP="00F16E82">
            <w:pPr>
              <w:pStyle w:val="TableColumnHeadCentered"/>
              <w:jc w:val="left"/>
              <w:rPr>
                <w:rFonts w:eastAsiaTheme="minorEastAsia" w:cs="Arial Narrow"/>
                <w:color w:val="FFFFFF"/>
                <w:sz w:val="19"/>
                <w:szCs w:val="19"/>
              </w:rPr>
            </w:pPr>
            <w:r w:rsidRPr="00F16E82">
              <w:rPr>
                <w:rFonts w:eastAsiaTheme="minorEastAsia" w:cs="Arial Narrow"/>
                <w:color w:val="FFFFFF"/>
                <w:sz w:val="19"/>
                <w:szCs w:val="19"/>
              </w:rPr>
              <w:t>Varied</w:t>
            </w:r>
          </w:p>
        </w:tc>
        <w:tc>
          <w:tcPr>
            <w:tcW w:w="450" w:type="dxa"/>
            <w:textDirection w:val="btLr"/>
          </w:tcPr>
          <w:p w:rsidR="00F16E82" w:rsidRPr="00F16E82" w:rsidRDefault="00F16E82" w:rsidP="00F16E82">
            <w:pPr>
              <w:pStyle w:val="TableColumnHeadCentered"/>
              <w:jc w:val="left"/>
              <w:rPr>
                <w:rFonts w:eastAsiaTheme="minorEastAsia" w:cs="Arial Narrow"/>
                <w:color w:val="FFFFFF"/>
                <w:sz w:val="19"/>
                <w:szCs w:val="19"/>
              </w:rPr>
            </w:pPr>
            <w:r w:rsidRPr="00F16E82">
              <w:rPr>
                <w:rFonts w:eastAsiaTheme="minorEastAsia" w:cs="Arial Narrow"/>
                <w:color w:val="FFFFFF"/>
                <w:sz w:val="19"/>
                <w:szCs w:val="19"/>
              </w:rPr>
              <w:t>Coaching</w:t>
            </w:r>
          </w:p>
        </w:tc>
        <w:tc>
          <w:tcPr>
            <w:tcW w:w="450" w:type="dxa"/>
            <w:textDirection w:val="btLr"/>
          </w:tcPr>
          <w:p w:rsidR="00F16E82" w:rsidRPr="00F16E82" w:rsidRDefault="00F16E82" w:rsidP="00F16E82">
            <w:pPr>
              <w:pStyle w:val="TableColumnHeadCentered"/>
              <w:jc w:val="left"/>
              <w:rPr>
                <w:rFonts w:eastAsiaTheme="minorEastAsia" w:cs="Arial Narrow"/>
                <w:color w:val="FFFFFF"/>
                <w:sz w:val="19"/>
                <w:szCs w:val="19"/>
              </w:rPr>
            </w:pPr>
            <w:r w:rsidRPr="00F16E82">
              <w:rPr>
                <w:rFonts w:eastAsiaTheme="minorEastAsia" w:cs="Arial Narrow"/>
                <w:color w:val="FFFFFF"/>
                <w:sz w:val="19"/>
                <w:szCs w:val="19"/>
              </w:rPr>
              <w:t>Analysis</w:t>
            </w:r>
          </w:p>
        </w:tc>
        <w:tc>
          <w:tcPr>
            <w:tcW w:w="450" w:type="dxa"/>
            <w:textDirection w:val="btLr"/>
          </w:tcPr>
          <w:p w:rsidR="00F16E82" w:rsidRPr="00F16E82" w:rsidRDefault="00F16E82" w:rsidP="00F16E82">
            <w:pPr>
              <w:pStyle w:val="TableColumnHeadCentered"/>
              <w:jc w:val="left"/>
              <w:rPr>
                <w:rFonts w:eastAsiaTheme="minorEastAsia" w:cs="Arial Narrow"/>
                <w:color w:val="FFFFFF"/>
                <w:sz w:val="19"/>
                <w:szCs w:val="19"/>
              </w:rPr>
            </w:pPr>
            <w:r w:rsidRPr="00F16E82">
              <w:rPr>
                <w:rFonts w:eastAsiaTheme="minorEastAsia" w:cs="Arial Narrow"/>
                <w:color w:val="FFFFFF"/>
                <w:sz w:val="19"/>
                <w:szCs w:val="19"/>
              </w:rPr>
              <w:t>Scaffolding</w:t>
            </w:r>
          </w:p>
        </w:tc>
        <w:tc>
          <w:tcPr>
            <w:tcW w:w="1618" w:type="dxa"/>
          </w:tcPr>
          <w:p w:rsidR="00F16E82" w:rsidRPr="00F16E82" w:rsidRDefault="00F16E82" w:rsidP="00F16E82">
            <w:pPr>
              <w:pStyle w:val="TableColumnHeadCentered"/>
              <w:rPr>
                <w:rFonts w:eastAsiaTheme="minorEastAsia" w:cs="Arial Narrow"/>
                <w:color w:val="FFFFFF"/>
                <w:sz w:val="19"/>
                <w:szCs w:val="19"/>
              </w:rPr>
            </w:pPr>
            <w:r w:rsidRPr="00F16E82">
              <w:rPr>
                <w:rFonts w:eastAsiaTheme="minorEastAsia" w:cs="Arial Narrow"/>
                <w:color w:val="FFFFFF"/>
                <w:sz w:val="19"/>
                <w:szCs w:val="19"/>
              </w:rPr>
              <w:t>There is no evidence of practice-based opportunities within this course/field experience.</w:t>
            </w:r>
          </w:p>
        </w:tc>
        <w:tc>
          <w:tcPr>
            <w:tcW w:w="1619" w:type="dxa"/>
          </w:tcPr>
          <w:p w:rsidR="00F16E82" w:rsidRPr="00F16E82" w:rsidRDefault="00F16E82" w:rsidP="00F16E82">
            <w:pPr>
              <w:pStyle w:val="TableColumnHeadCentered"/>
              <w:rPr>
                <w:rFonts w:eastAsiaTheme="minorEastAsia" w:cs="Arial Narrow"/>
                <w:color w:val="FFFFFF"/>
                <w:sz w:val="19"/>
                <w:szCs w:val="19"/>
              </w:rPr>
            </w:pPr>
            <w:r w:rsidRPr="00F16E82">
              <w:rPr>
                <w:rFonts w:eastAsiaTheme="minorEastAsia" w:cs="Arial Narrow"/>
                <w:color w:val="FFFFFF"/>
                <w:sz w:val="19"/>
                <w:szCs w:val="19"/>
              </w:rPr>
              <w:t>This course/field experience includes practice-based opportunities that include 1–2 essential features.</w:t>
            </w:r>
          </w:p>
        </w:tc>
        <w:tc>
          <w:tcPr>
            <w:tcW w:w="1619" w:type="dxa"/>
          </w:tcPr>
          <w:p w:rsidR="00F16E82" w:rsidRPr="00F16E82" w:rsidRDefault="00F16E82" w:rsidP="00F16E82">
            <w:pPr>
              <w:pStyle w:val="TableColumnHeadCentered"/>
              <w:rPr>
                <w:rFonts w:eastAsiaTheme="minorEastAsia" w:cs="Arial Narrow"/>
                <w:color w:val="FFFFFF"/>
                <w:sz w:val="19"/>
                <w:szCs w:val="19"/>
              </w:rPr>
            </w:pPr>
            <w:r w:rsidRPr="00F16E82">
              <w:rPr>
                <w:rFonts w:eastAsiaTheme="minorEastAsia" w:cs="Arial Narrow"/>
                <w:color w:val="FFFFFF"/>
                <w:sz w:val="19"/>
                <w:szCs w:val="19"/>
              </w:rPr>
              <w:t>This course/field experience includes practice-based opportunities that include 3–4 essential features.</w:t>
            </w:r>
          </w:p>
        </w:tc>
        <w:tc>
          <w:tcPr>
            <w:tcW w:w="1619" w:type="dxa"/>
          </w:tcPr>
          <w:p w:rsidR="00F16E82" w:rsidRPr="00F16E82" w:rsidRDefault="00F16E82" w:rsidP="00EE7548">
            <w:pPr>
              <w:pStyle w:val="TableColumnHeadCentered"/>
              <w:rPr>
                <w:rFonts w:eastAsiaTheme="minorEastAsia" w:cs="Arial Narrow"/>
                <w:color w:val="FFFFFF"/>
                <w:sz w:val="19"/>
                <w:szCs w:val="19"/>
              </w:rPr>
            </w:pPr>
            <w:r w:rsidRPr="00F16E82">
              <w:rPr>
                <w:rFonts w:eastAsiaTheme="minorEastAsia" w:cs="Arial Narrow"/>
                <w:color w:val="FFFFFF"/>
                <w:sz w:val="19"/>
                <w:szCs w:val="19"/>
              </w:rPr>
              <w:t>This course/field experience includes practice-based opportunities that fully integrate 5–6 essential features.</w:t>
            </w:r>
          </w:p>
        </w:tc>
      </w:tr>
      <w:tr w:rsidR="00316234" w:rsidRPr="00F16E82" w:rsidTr="00EE7548">
        <w:trPr>
          <w:trHeight w:hRule="exact" w:val="665"/>
          <w:jc w:val="center"/>
        </w:trPr>
        <w:tc>
          <w:tcPr>
            <w:tcW w:w="4135" w:type="dxa"/>
            <w:vAlign w:val="center"/>
          </w:tcPr>
          <w:p w:rsidR="00A738D7" w:rsidRPr="00F16E82" w:rsidRDefault="00A738D7" w:rsidP="00A738D7">
            <w:pPr>
              <w:pStyle w:val="TableText"/>
            </w:pPr>
            <w:r w:rsidRPr="00F16E82">
              <w:t>Classroom &amp; Behavior Management 101: Virtual Classroom Experience</w:t>
            </w:r>
          </w:p>
        </w:tc>
        <w:tc>
          <w:tcPr>
            <w:tcW w:w="450" w:type="dxa"/>
            <w:vAlign w:val="center"/>
          </w:tcPr>
          <w:p w:rsidR="00A738D7" w:rsidRPr="00F16E82" w:rsidRDefault="00A738D7" w:rsidP="00A738D7">
            <w:pPr>
              <w:pStyle w:val="TableCheckmarks"/>
            </w:pPr>
          </w:p>
        </w:tc>
        <w:tc>
          <w:tcPr>
            <w:tcW w:w="450" w:type="dxa"/>
            <w:vAlign w:val="center"/>
          </w:tcPr>
          <w:p w:rsidR="00A738D7" w:rsidRPr="00A738D7" w:rsidRDefault="00A738D7" w:rsidP="00A738D7">
            <w:pPr>
              <w:pStyle w:val="TableCheckmarks"/>
              <w:rPr>
                <w:szCs w:val="28"/>
              </w:rPr>
            </w:pPr>
            <w:r w:rsidRPr="00A738D7">
              <w:rPr>
                <w:szCs w:val="28"/>
              </w:rPr>
              <w:sym w:font="Symbol" w:char="F020"/>
            </w:r>
            <w:r w:rsidRPr="00A738D7">
              <w:rPr>
                <w:szCs w:val="28"/>
              </w:rPr>
              <w:sym w:font="Wingdings" w:char="F0FC"/>
            </w:r>
          </w:p>
        </w:tc>
        <w:tc>
          <w:tcPr>
            <w:tcW w:w="450" w:type="dxa"/>
            <w:vAlign w:val="center"/>
          </w:tcPr>
          <w:p w:rsidR="00A738D7" w:rsidRPr="00A738D7" w:rsidRDefault="00A738D7" w:rsidP="00A738D7">
            <w:pPr>
              <w:pStyle w:val="TableCheckmarks"/>
              <w:rPr>
                <w:szCs w:val="28"/>
              </w:rPr>
            </w:pPr>
            <w:r w:rsidRPr="00A738D7">
              <w:rPr>
                <w:szCs w:val="28"/>
              </w:rPr>
              <w:sym w:font="Wingdings" w:char="F0FC"/>
            </w:r>
          </w:p>
        </w:tc>
        <w:tc>
          <w:tcPr>
            <w:tcW w:w="450" w:type="dxa"/>
            <w:vAlign w:val="center"/>
          </w:tcPr>
          <w:p w:rsidR="00A738D7" w:rsidRPr="00A738D7" w:rsidRDefault="00A738D7" w:rsidP="00A738D7">
            <w:pPr>
              <w:pStyle w:val="TableCheckmarks"/>
              <w:rPr>
                <w:szCs w:val="28"/>
              </w:rPr>
            </w:pPr>
            <w:r w:rsidRPr="00A738D7">
              <w:rPr>
                <w:szCs w:val="28"/>
              </w:rPr>
              <w:sym w:font="Wingdings" w:char="F0FC"/>
            </w:r>
          </w:p>
        </w:tc>
        <w:tc>
          <w:tcPr>
            <w:tcW w:w="450" w:type="dxa"/>
            <w:vAlign w:val="center"/>
          </w:tcPr>
          <w:p w:rsidR="00A738D7" w:rsidRPr="00A738D7" w:rsidRDefault="00A738D7" w:rsidP="00A738D7">
            <w:pPr>
              <w:pStyle w:val="TableCheckmarks"/>
              <w:rPr>
                <w:szCs w:val="28"/>
              </w:rPr>
            </w:pPr>
            <w:r w:rsidRPr="00A738D7">
              <w:rPr>
                <w:szCs w:val="28"/>
              </w:rPr>
              <w:sym w:font="Wingdings" w:char="F0FC"/>
            </w:r>
          </w:p>
        </w:tc>
        <w:tc>
          <w:tcPr>
            <w:tcW w:w="450" w:type="dxa"/>
            <w:vAlign w:val="center"/>
          </w:tcPr>
          <w:p w:rsidR="00A738D7" w:rsidRPr="00A738D7" w:rsidRDefault="00A738D7" w:rsidP="00A738D7">
            <w:pPr>
              <w:pStyle w:val="TableCheckmarks"/>
              <w:rPr>
                <w:szCs w:val="28"/>
              </w:rPr>
            </w:pPr>
            <w:r w:rsidRPr="00A738D7">
              <w:rPr>
                <w:szCs w:val="28"/>
              </w:rPr>
              <w:sym w:font="Wingdings" w:char="F0FC"/>
            </w:r>
          </w:p>
        </w:tc>
        <w:tc>
          <w:tcPr>
            <w:tcW w:w="1618" w:type="dxa"/>
            <w:vAlign w:val="center"/>
          </w:tcPr>
          <w:p w:rsidR="00A738D7" w:rsidRPr="00F16E82" w:rsidRDefault="00A738D7" w:rsidP="00A738D7">
            <w:pPr>
              <w:pStyle w:val="TableCheckmarks"/>
            </w:pPr>
          </w:p>
        </w:tc>
        <w:tc>
          <w:tcPr>
            <w:tcW w:w="1619" w:type="dxa"/>
            <w:vAlign w:val="center"/>
          </w:tcPr>
          <w:p w:rsidR="00A738D7" w:rsidRPr="00F16E82" w:rsidRDefault="00A738D7" w:rsidP="00A738D7">
            <w:pPr>
              <w:pStyle w:val="TableCheckmarks"/>
            </w:pPr>
          </w:p>
        </w:tc>
        <w:tc>
          <w:tcPr>
            <w:tcW w:w="1619" w:type="dxa"/>
            <w:vAlign w:val="center"/>
          </w:tcPr>
          <w:p w:rsidR="00A738D7" w:rsidRPr="00F16E82" w:rsidRDefault="00A738D7" w:rsidP="00A738D7">
            <w:pPr>
              <w:pStyle w:val="TableCheckmarks"/>
            </w:pPr>
          </w:p>
        </w:tc>
        <w:tc>
          <w:tcPr>
            <w:tcW w:w="1619" w:type="dxa"/>
            <w:vAlign w:val="center"/>
          </w:tcPr>
          <w:p w:rsidR="00A738D7" w:rsidRPr="00F16E82" w:rsidRDefault="00A738D7" w:rsidP="00A738D7">
            <w:pPr>
              <w:pStyle w:val="TableCheckmarks"/>
            </w:pPr>
            <w:r>
              <w:sym w:font="Wingdings" w:char="F0FC"/>
            </w: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r w:rsidR="00316234" w:rsidRPr="00F16E82" w:rsidTr="00EE7548">
        <w:trPr>
          <w:trHeight w:hRule="exact" w:val="549"/>
          <w:jc w:val="center"/>
        </w:trPr>
        <w:tc>
          <w:tcPr>
            <w:tcW w:w="4135" w:type="dxa"/>
          </w:tcPr>
          <w:p w:rsidR="00F16E82" w:rsidRPr="00F16E82" w:rsidRDefault="00F16E82" w:rsidP="00F16E82">
            <w:pPr>
              <w:pStyle w:val="TableText"/>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450" w:type="dxa"/>
          </w:tcPr>
          <w:p w:rsidR="00F16E82" w:rsidRPr="00F16E82" w:rsidRDefault="00F16E82" w:rsidP="00A738D7">
            <w:pPr>
              <w:pStyle w:val="TableCheckmarks"/>
            </w:pPr>
          </w:p>
        </w:tc>
        <w:tc>
          <w:tcPr>
            <w:tcW w:w="1618"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c>
          <w:tcPr>
            <w:tcW w:w="1619" w:type="dxa"/>
          </w:tcPr>
          <w:p w:rsidR="00F16E82" w:rsidRPr="00F16E82" w:rsidRDefault="00F16E82" w:rsidP="00A738D7">
            <w:pPr>
              <w:pStyle w:val="TableCheckmarks"/>
            </w:pPr>
          </w:p>
        </w:tc>
      </w:tr>
    </w:tbl>
    <w:p w:rsidR="00A738D7" w:rsidRDefault="00A738D7" w:rsidP="00967EDB">
      <w:pPr>
        <w:pStyle w:val="BodyText"/>
        <w:rPr>
          <w:rFonts w:eastAsia="Calibri"/>
        </w:rPr>
        <w:sectPr w:rsidR="00A738D7" w:rsidSect="00F16E82">
          <w:pgSz w:w="15840" w:h="12240" w:orient="landscape"/>
          <w:pgMar w:top="1080" w:right="1080" w:bottom="1440" w:left="1440" w:header="720" w:footer="720" w:gutter="0"/>
          <w:cols w:space="720"/>
          <w:noEndnote/>
          <w:docGrid w:linePitch="326"/>
        </w:sectPr>
      </w:pPr>
    </w:p>
    <w:p w:rsidR="00A738D7" w:rsidRPr="00A738D7" w:rsidRDefault="00A738D7" w:rsidP="00A738D7">
      <w:pPr>
        <w:pStyle w:val="Heading3"/>
        <w:spacing w:before="0"/>
        <w:rPr>
          <w:rFonts w:eastAsia="Calibri"/>
        </w:rPr>
      </w:pPr>
      <w:bookmarkStart w:id="10" w:name="_Toc455597970"/>
      <w:r w:rsidRPr="00A738D7">
        <w:rPr>
          <w:rFonts w:eastAsia="Calibri"/>
        </w:rPr>
        <w:lastRenderedPageBreak/>
        <w:t>Step 4: Strengthening Efforts: Enhancing Practice-Based Opportunities in Coursework and Field Experiences</w:t>
      </w:r>
      <w:bookmarkEnd w:id="10"/>
      <w:r w:rsidRPr="00A738D7">
        <w:rPr>
          <w:rFonts w:eastAsia="Calibri"/>
        </w:rPr>
        <w:t xml:space="preserve"> </w:t>
      </w:r>
    </w:p>
    <w:p w:rsidR="00A738D7" w:rsidRPr="00A738D7" w:rsidRDefault="00A738D7" w:rsidP="00A738D7">
      <w:pPr>
        <w:pStyle w:val="BodyText"/>
      </w:pPr>
      <w:r w:rsidRPr="00A738D7">
        <w:rPr>
          <w:rFonts w:eastAsia="Calibri"/>
        </w:rPr>
        <w:t xml:space="preserve">The final </w:t>
      </w:r>
      <w:r w:rsidRPr="00A738D7">
        <w:t xml:space="preserve">step in this process involves prioritizing the features of high-quality, practice-based opportunities that can be enhanced in coursework and/or field experiences. Teacher educators can use the quality indicators (Step 2) and implementation levels (Step 3) to select from a number of examples of practice-based </w:t>
      </w:r>
      <w:r w:rsidRPr="00A738D7">
        <w:lastRenderedPageBreak/>
        <w:t xml:space="preserve">opportunities that can be integrated into a specific course(s) or program. Although the listing of practice-based opportunities is not all-inclusive, it can serve as a starting point for teacher educators. </w:t>
      </w:r>
    </w:p>
    <w:p w:rsidR="00A738D7" w:rsidRPr="00A738D7" w:rsidRDefault="00A738D7" w:rsidP="00A738D7">
      <w:pPr>
        <w:pStyle w:val="BodyText"/>
      </w:pPr>
      <w:r w:rsidRPr="00A738D7">
        <w:t xml:space="preserve">To complete Step 4, program faculty should review the practice-based opportunity examples across coursework and field experiences and identify which are appropriate for inclusion within course and field experience requirements. The </w:t>
      </w:r>
      <w:r w:rsidRPr="00A738D7">
        <w:lastRenderedPageBreak/>
        <w:t xml:space="preserve">program faculty should identify the examples that are most appropriate and that align with findings in Steps 1, 2, and 3 of this guide. </w:t>
      </w:r>
    </w:p>
    <w:p w:rsidR="00A738D7" w:rsidRDefault="00A738D7" w:rsidP="00A738D7">
      <w:pPr>
        <w:pStyle w:val="BodyText"/>
        <w:sectPr w:rsidR="00A738D7" w:rsidSect="00A738D7">
          <w:pgSz w:w="15840" w:h="12240" w:orient="landscape"/>
          <w:pgMar w:top="1080" w:right="1080" w:bottom="1440" w:left="1440" w:header="720" w:footer="720" w:gutter="0"/>
          <w:cols w:num="3" w:space="720"/>
          <w:noEndnote/>
          <w:docGrid w:linePitch="326"/>
        </w:sectPr>
      </w:pPr>
      <w:r w:rsidRPr="00A738D7">
        <w:t>Once potential practice-based opportunities have been identified, program faculty can use Table 4 to create an action plan for individual courses and for the program as a whole.</w:t>
      </w:r>
    </w:p>
    <w:p w:rsidR="00ED76E3" w:rsidRDefault="00ED76E3" w:rsidP="00EE7548">
      <w:pPr>
        <w:pStyle w:val="TableTitle"/>
        <w:spacing w:before="480"/>
      </w:pPr>
      <w:r>
        <w:lastRenderedPageBreak/>
        <w:t xml:space="preserve">Table 4: Enhancing Practice-Based Opportunities </w:t>
      </w:r>
    </w:p>
    <w:tbl>
      <w:tblPr>
        <w:tblStyle w:val="GTLTable1"/>
        <w:tblW w:w="5000" w:type="pct"/>
        <w:jc w:val="center"/>
        <w:tblLayout w:type="fixed"/>
        <w:tblLook w:val="0620" w:firstRow="1" w:lastRow="0" w:firstColumn="0" w:lastColumn="0" w:noHBand="1" w:noVBand="1"/>
      </w:tblPr>
      <w:tblGrid>
        <w:gridCol w:w="3109"/>
        <w:gridCol w:w="247"/>
        <w:gridCol w:w="1352"/>
        <w:gridCol w:w="4779"/>
        <w:gridCol w:w="1507"/>
        <w:gridCol w:w="2542"/>
      </w:tblGrid>
      <w:tr w:rsidR="00ED76E3" w:rsidTr="00770A09">
        <w:trPr>
          <w:cnfStyle w:val="100000000000" w:firstRow="1" w:lastRow="0" w:firstColumn="0" w:lastColumn="0" w:oddVBand="0" w:evenVBand="0" w:oddHBand="0" w:evenHBand="0" w:firstRowFirstColumn="0" w:firstRowLastColumn="0" w:lastRowFirstColumn="0" w:lastRowLastColumn="0"/>
          <w:trHeight w:val="196"/>
          <w:tblHeader/>
          <w:jc w:val="center"/>
        </w:trPr>
        <w:tc>
          <w:tcPr>
            <w:tcW w:w="12931" w:type="dxa"/>
            <w:gridSpan w:val="6"/>
          </w:tcPr>
          <w:p w:rsidR="00ED76E3" w:rsidRDefault="00ED76E3" w:rsidP="00ED76E3">
            <w:pPr>
              <w:pStyle w:val="TableColumnHeadCentered"/>
            </w:pPr>
            <w:r>
              <w:t>COURSE-BASED</w:t>
            </w:r>
          </w:p>
        </w:tc>
      </w:tr>
      <w:tr w:rsidR="00ED76E3" w:rsidTr="00770A09">
        <w:trPr>
          <w:cnfStyle w:val="100000000000" w:firstRow="1" w:lastRow="0" w:firstColumn="0" w:lastColumn="0" w:oddVBand="0" w:evenVBand="0" w:oddHBand="0" w:evenHBand="0" w:firstRowFirstColumn="0" w:firstRowLastColumn="0" w:lastRowFirstColumn="0" w:lastRowLastColumn="0"/>
          <w:trHeight w:val="60"/>
          <w:tblHeader/>
          <w:jc w:val="center"/>
        </w:trPr>
        <w:tc>
          <w:tcPr>
            <w:tcW w:w="3206" w:type="dxa"/>
            <w:gridSpan w:val="2"/>
            <w:vMerge w:val="restart"/>
            <w:shd w:val="clear" w:color="auto" w:fill="4B76A0" w:themeFill="accent1"/>
            <w:vAlign w:val="bottom"/>
          </w:tcPr>
          <w:p w:rsidR="00ED76E3" w:rsidRPr="00ED76E3" w:rsidRDefault="00ED76E3" w:rsidP="00ED76E3">
            <w:pPr>
              <w:pStyle w:val="TableColumnHeadCentered"/>
              <w:rPr>
                <w:color w:val="FFFFFF" w:themeColor="background1"/>
              </w:rPr>
            </w:pPr>
            <w:r w:rsidRPr="00ED76E3">
              <w:rPr>
                <w:color w:val="FFFFFF" w:themeColor="background1"/>
              </w:rPr>
              <w:t>Example</w:t>
            </w:r>
          </w:p>
        </w:tc>
        <w:tc>
          <w:tcPr>
            <w:tcW w:w="9725" w:type="dxa"/>
            <w:gridSpan w:val="4"/>
            <w:shd w:val="clear" w:color="auto" w:fill="4B76A0" w:themeFill="accent1"/>
          </w:tcPr>
          <w:p w:rsidR="00ED76E3" w:rsidRPr="00ED76E3" w:rsidRDefault="00ED76E3" w:rsidP="00ED76E3">
            <w:pPr>
              <w:pStyle w:val="TableColumnHeadCentered"/>
              <w:rPr>
                <w:color w:val="FFFFFF" w:themeColor="background1"/>
              </w:rPr>
            </w:pPr>
            <w:r w:rsidRPr="00ED76E3">
              <w:rPr>
                <w:color w:val="FFFFFF" w:themeColor="background1"/>
              </w:rPr>
              <w:t xml:space="preserve">Action Plan for Implementation </w:t>
            </w:r>
          </w:p>
          <w:p w:rsidR="00ED76E3" w:rsidRPr="00ED76E3" w:rsidRDefault="00ED76E3" w:rsidP="00ED76E3">
            <w:pPr>
              <w:pStyle w:val="TableColumnHeadCentered"/>
              <w:rPr>
                <w:color w:val="FFFFFF" w:themeColor="background1"/>
              </w:rPr>
            </w:pPr>
            <w:r w:rsidRPr="00ED76E3">
              <w:rPr>
                <w:rStyle w:val="MedCond"/>
                <w:b w:val="0"/>
                <w:bCs w:val="0"/>
                <w:color w:val="FFFFFF" w:themeColor="background1"/>
              </w:rPr>
              <w:t>Identify course(s) and/or resources for implementation</w:t>
            </w:r>
            <w:r w:rsidR="00525D7E">
              <w:rPr>
                <w:rStyle w:val="MedCond"/>
                <w:b w:val="0"/>
                <w:bCs w:val="0"/>
                <w:color w:val="FFFFFF" w:themeColor="background1"/>
              </w:rPr>
              <w:t xml:space="preserve"> </w:t>
            </w:r>
          </w:p>
        </w:tc>
      </w:tr>
      <w:tr w:rsidR="00ED76E3" w:rsidTr="00770A09">
        <w:trPr>
          <w:cnfStyle w:val="100000000000" w:firstRow="1" w:lastRow="0" w:firstColumn="0" w:lastColumn="0" w:oddVBand="0" w:evenVBand="0" w:oddHBand="0" w:evenHBand="0" w:firstRowFirstColumn="0" w:firstRowLastColumn="0" w:lastRowFirstColumn="0" w:lastRowLastColumn="0"/>
          <w:trHeight w:val="60"/>
          <w:tblHeader/>
          <w:jc w:val="center"/>
        </w:trPr>
        <w:tc>
          <w:tcPr>
            <w:tcW w:w="3206" w:type="dxa"/>
            <w:gridSpan w:val="2"/>
            <w:vMerge/>
            <w:shd w:val="clear" w:color="auto" w:fill="4B76A0" w:themeFill="accent1"/>
          </w:tcPr>
          <w:p w:rsidR="00ED76E3" w:rsidRPr="00ED76E3" w:rsidRDefault="00ED76E3" w:rsidP="00ED76E3">
            <w:pPr>
              <w:pStyle w:val="TableColumnHeadCentered"/>
              <w:rPr>
                <w:rFonts w:ascii="Arial" w:hAnsi="Arial" w:cs="Arial"/>
                <w:color w:val="FFFFFF" w:themeColor="background1"/>
              </w:rPr>
            </w:pPr>
          </w:p>
        </w:tc>
        <w:tc>
          <w:tcPr>
            <w:tcW w:w="1292" w:type="dxa"/>
            <w:shd w:val="clear" w:color="auto" w:fill="4B76A0" w:themeFill="accent1"/>
          </w:tcPr>
          <w:p w:rsidR="00ED76E3" w:rsidRPr="00ED76E3" w:rsidRDefault="00ED76E3" w:rsidP="00ED76E3">
            <w:pPr>
              <w:pStyle w:val="TableColumnHeadCentered"/>
              <w:rPr>
                <w:color w:val="FFFFFF" w:themeColor="background1"/>
              </w:rPr>
            </w:pPr>
            <w:r w:rsidRPr="00ED76E3">
              <w:rPr>
                <w:color w:val="FFFFFF" w:themeColor="background1"/>
              </w:rPr>
              <w:t xml:space="preserve">Course(s) </w:t>
            </w:r>
          </w:p>
        </w:tc>
        <w:tc>
          <w:tcPr>
            <w:tcW w:w="4565" w:type="dxa"/>
            <w:shd w:val="clear" w:color="auto" w:fill="4B76A0" w:themeFill="accent1"/>
          </w:tcPr>
          <w:p w:rsidR="00ED76E3" w:rsidRPr="00ED76E3" w:rsidRDefault="00ED76E3" w:rsidP="00ED76E3">
            <w:pPr>
              <w:pStyle w:val="TableColumnHeadCentered"/>
              <w:rPr>
                <w:color w:val="FFFFFF" w:themeColor="background1"/>
              </w:rPr>
            </w:pPr>
            <w:r w:rsidRPr="00ED76E3">
              <w:rPr>
                <w:color w:val="FFFFFF" w:themeColor="background1"/>
              </w:rPr>
              <w:t>Steps to Planning and Implementation</w:t>
            </w:r>
          </w:p>
        </w:tc>
        <w:tc>
          <w:tcPr>
            <w:tcW w:w="1440" w:type="dxa"/>
            <w:shd w:val="clear" w:color="auto" w:fill="4B76A0" w:themeFill="accent1"/>
          </w:tcPr>
          <w:p w:rsidR="00ED76E3" w:rsidRPr="00ED76E3" w:rsidRDefault="00ED76E3" w:rsidP="00ED76E3">
            <w:pPr>
              <w:pStyle w:val="TableColumnHeadCentered"/>
              <w:rPr>
                <w:color w:val="FFFFFF" w:themeColor="background1"/>
              </w:rPr>
            </w:pPr>
            <w:r w:rsidRPr="00ED76E3">
              <w:rPr>
                <w:color w:val="FFFFFF" w:themeColor="background1"/>
              </w:rPr>
              <w:t>Timeline</w:t>
            </w:r>
          </w:p>
        </w:tc>
        <w:tc>
          <w:tcPr>
            <w:tcW w:w="2428" w:type="dxa"/>
            <w:shd w:val="clear" w:color="auto" w:fill="4B76A0" w:themeFill="accent1"/>
          </w:tcPr>
          <w:p w:rsidR="00ED76E3" w:rsidRPr="00ED76E3" w:rsidRDefault="00ED76E3" w:rsidP="00ED76E3">
            <w:pPr>
              <w:pStyle w:val="TableColumnHeadCentered"/>
              <w:rPr>
                <w:color w:val="FFFFFF" w:themeColor="background1"/>
              </w:rPr>
            </w:pPr>
            <w:r w:rsidRPr="00ED76E3">
              <w:rPr>
                <w:color w:val="FFFFFF" w:themeColor="background1"/>
              </w:rPr>
              <w:t>Responsible Party</w:t>
            </w:r>
          </w:p>
        </w:tc>
      </w:tr>
      <w:tr w:rsidR="00ED76E3" w:rsidTr="00770A09">
        <w:trPr>
          <w:trHeight w:val="3610"/>
          <w:jc w:val="center"/>
        </w:trPr>
        <w:tc>
          <w:tcPr>
            <w:tcW w:w="3206" w:type="dxa"/>
            <w:gridSpan w:val="2"/>
            <w:shd w:val="clear" w:color="auto" w:fill="EAEAEA"/>
          </w:tcPr>
          <w:p w:rsidR="00ED76E3" w:rsidRPr="00ED76E3" w:rsidRDefault="00ED76E3" w:rsidP="00ED76E3">
            <w:pPr>
              <w:pStyle w:val="TableSubheading"/>
            </w:pPr>
            <w:r w:rsidRPr="00ED76E3">
              <w:t>Microteaching</w:t>
            </w:r>
          </w:p>
          <w:p w:rsidR="00ED76E3" w:rsidRDefault="00ED76E3" w:rsidP="00ED76E3">
            <w:pPr>
              <w:pStyle w:val="TableText"/>
            </w:pPr>
            <w:r>
              <w:t>Novice teachers plan a lesson and teach it in front of their peers.</w:t>
            </w:r>
          </w:p>
        </w:tc>
        <w:tc>
          <w:tcPr>
            <w:tcW w:w="1292" w:type="dxa"/>
          </w:tcPr>
          <w:p w:rsidR="00ED76E3" w:rsidRDefault="00ED76E3" w:rsidP="00ED76E3">
            <w:pPr>
              <w:pStyle w:val="TableText"/>
            </w:pPr>
          </w:p>
        </w:tc>
        <w:tc>
          <w:tcPr>
            <w:tcW w:w="4565" w:type="dxa"/>
          </w:tcPr>
          <w:p w:rsidR="00ED76E3" w:rsidRDefault="00ED76E3" w:rsidP="00ED76E3">
            <w:pPr>
              <w:pStyle w:val="TableText"/>
            </w:pPr>
          </w:p>
        </w:tc>
        <w:tc>
          <w:tcPr>
            <w:tcW w:w="1440" w:type="dxa"/>
          </w:tcPr>
          <w:p w:rsidR="00ED76E3" w:rsidRDefault="00ED76E3" w:rsidP="00ED76E3">
            <w:pPr>
              <w:pStyle w:val="TableText"/>
            </w:pPr>
          </w:p>
        </w:tc>
        <w:tc>
          <w:tcPr>
            <w:tcW w:w="2428" w:type="dxa"/>
          </w:tcPr>
          <w:p w:rsidR="00ED76E3" w:rsidRDefault="00ED76E3" w:rsidP="00ED76E3">
            <w:pPr>
              <w:pStyle w:val="TableText"/>
            </w:pPr>
          </w:p>
        </w:tc>
      </w:tr>
      <w:tr w:rsidR="00ED76E3" w:rsidTr="00770A09">
        <w:trPr>
          <w:trHeight w:val="2701"/>
          <w:jc w:val="center"/>
        </w:trPr>
        <w:tc>
          <w:tcPr>
            <w:tcW w:w="2970" w:type="dxa"/>
            <w:shd w:val="clear" w:color="auto" w:fill="EAEAEA"/>
          </w:tcPr>
          <w:p w:rsidR="00ED76E3" w:rsidRPr="00ED76E3" w:rsidRDefault="00ED76E3" w:rsidP="00ED76E3">
            <w:pPr>
              <w:pStyle w:val="TableSubheading"/>
            </w:pPr>
            <w:r w:rsidRPr="00ED76E3">
              <w:lastRenderedPageBreak/>
              <w:t>Case-Based Instruction</w:t>
            </w:r>
          </w:p>
          <w:p w:rsidR="00ED76E3" w:rsidRDefault="00ED76E3" w:rsidP="00ED76E3">
            <w:pPr>
              <w:pStyle w:val="TableText"/>
            </w:pPr>
            <w:r>
              <w:t>Candidates analyze cases of instruction across various contexts as a method for advancing their conceptual understanding of new pedagogical content as well as their ability to analyze instruction and student learning in real-life teaching situations (Kagan, 1993).</w:t>
            </w:r>
          </w:p>
        </w:tc>
        <w:tc>
          <w:tcPr>
            <w:tcW w:w="1528" w:type="dxa"/>
            <w:gridSpan w:val="2"/>
          </w:tcPr>
          <w:p w:rsidR="00ED76E3" w:rsidRDefault="00ED76E3">
            <w:pPr>
              <w:pStyle w:val="NoParagraphStyle"/>
              <w:spacing w:line="240" w:lineRule="auto"/>
              <w:textAlignment w:val="auto"/>
              <w:rPr>
                <w:rFonts w:ascii="Arial" w:hAnsi="Arial" w:cs="Arial"/>
                <w:color w:val="auto"/>
              </w:rPr>
            </w:pPr>
          </w:p>
        </w:tc>
        <w:tc>
          <w:tcPr>
            <w:tcW w:w="4565" w:type="dxa"/>
          </w:tcPr>
          <w:p w:rsidR="00ED76E3" w:rsidRDefault="00ED76E3">
            <w:pPr>
              <w:pStyle w:val="NoParagraphStyle"/>
              <w:spacing w:line="240" w:lineRule="auto"/>
              <w:textAlignment w:val="auto"/>
              <w:rPr>
                <w:rFonts w:ascii="Arial" w:hAnsi="Arial" w:cs="Arial"/>
                <w:color w:val="auto"/>
              </w:rPr>
            </w:pPr>
          </w:p>
        </w:tc>
        <w:tc>
          <w:tcPr>
            <w:tcW w:w="1440" w:type="dxa"/>
          </w:tcPr>
          <w:p w:rsidR="00ED76E3" w:rsidRDefault="00ED76E3">
            <w:pPr>
              <w:pStyle w:val="NoParagraphStyle"/>
              <w:spacing w:line="240" w:lineRule="auto"/>
              <w:textAlignment w:val="auto"/>
              <w:rPr>
                <w:rFonts w:ascii="Arial" w:hAnsi="Arial" w:cs="Arial"/>
                <w:color w:val="auto"/>
              </w:rPr>
            </w:pPr>
          </w:p>
        </w:tc>
        <w:tc>
          <w:tcPr>
            <w:tcW w:w="2428" w:type="dxa"/>
          </w:tcPr>
          <w:p w:rsidR="00ED76E3" w:rsidRDefault="00ED76E3">
            <w:pPr>
              <w:pStyle w:val="NoParagraphStyle"/>
              <w:spacing w:line="240" w:lineRule="auto"/>
              <w:textAlignment w:val="auto"/>
              <w:rPr>
                <w:rFonts w:ascii="Arial" w:hAnsi="Arial" w:cs="Arial"/>
                <w:color w:val="auto"/>
              </w:rPr>
            </w:pPr>
          </w:p>
        </w:tc>
      </w:tr>
      <w:tr w:rsidR="00ED76E3" w:rsidTr="00770A09">
        <w:trPr>
          <w:trHeight w:val="2701"/>
          <w:jc w:val="center"/>
        </w:trPr>
        <w:tc>
          <w:tcPr>
            <w:tcW w:w="2970" w:type="dxa"/>
            <w:shd w:val="clear" w:color="auto" w:fill="EAEAEA"/>
          </w:tcPr>
          <w:p w:rsidR="00ED76E3" w:rsidRPr="00ED76E3" w:rsidRDefault="00ED76E3" w:rsidP="00ED76E3">
            <w:pPr>
              <w:pStyle w:val="TableSubheading"/>
            </w:pPr>
            <w:r w:rsidRPr="00ED76E3">
              <w:t>Virtual Simulation</w:t>
            </w:r>
          </w:p>
          <w:p w:rsidR="00ED76E3" w:rsidRDefault="00ED76E3" w:rsidP="00ED76E3">
            <w:pPr>
              <w:pStyle w:val="TableText"/>
            </w:pPr>
            <w:r>
              <w:t>Candidates practice in virtual environments prior to teaching students in the classroom environment.</w:t>
            </w:r>
          </w:p>
        </w:tc>
        <w:tc>
          <w:tcPr>
            <w:tcW w:w="1528" w:type="dxa"/>
            <w:gridSpan w:val="2"/>
          </w:tcPr>
          <w:p w:rsidR="00ED76E3" w:rsidRDefault="00ED76E3">
            <w:pPr>
              <w:pStyle w:val="NoParagraphStyle"/>
              <w:spacing w:line="240" w:lineRule="auto"/>
              <w:textAlignment w:val="auto"/>
              <w:rPr>
                <w:rFonts w:ascii="Arial" w:hAnsi="Arial" w:cs="Arial"/>
                <w:color w:val="auto"/>
              </w:rPr>
            </w:pPr>
          </w:p>
        </w:tc>
        <w:tc>
          <w:tcPr>
            <w:tcW w:w="4565" w:type="dxa"/>
          </w:tcPr>
          <w:p w:rsidR="00ED76E3" w:rsidRDefault="00ED76E3">
            <w:pPr>
              <w:pStyle w:val="NoParagraphStyle"/>
              <w:spacing w:line="240" w:lineRule="auto"/>
              <w:textAlignment w:val="auto"/>
              <w:rPr>
                <w:rFonts w:ascii="Arial" w:hAnsi="Arial" w:cs="Arial"/>
                <w:color w:val="auto"/>
              </w:rPr>
            </w:pPr>
          </w:p>
        </w:tc>
        <w:tc>
          <w:tcPr>
            <w:tcW w:w="1440" w:type="dxa"/>
          </w:tcPr>
          <w:p w:rsidR="00ED76E3" w:rsidRDefault="00ED76E3">
            <w:pPr>
              <w:pStyle w:val="NoParagraphStyle"/>
              <w:spacing w:line="240" w:lineRule="auto"/>
              <w:textAlignment w:val="auto"/>
              <w:rPr>
                <w:rFonts w:ascii="Arial" w:hAnsi="Arial" w:cs="Arial"/>
                <w:color w:val="auto"/>
              </w:rPr>
            </w:pPr>
          </w:p>
        </w:tc>
        <w:tc>
          <w:tcPr>
            <w:tcW w:w="2428" w:type="dxa"/>
          </w:tcPr>
          <w:p w:rsidR="00ED76E3" w:rsidRDefault="00ED76E3">
            <w:pPr>
              <w:pStyle w:val="NoParagraphStyle"/>
              <w:spacing w:line="240" w:lineRule="auto"/>
              <w:textAlignment w:val="auto"/>
              <w:rPr>
                <w:rFonts w:ascii="Arial" w:hAnsi="Arial" w:cs="Arial"/>
                <w:color w:val="auto"/>
              </w:rPr>
            </w:pPr>
          </w:p>
        </w:tc>
      </w:tr>
      <w:tr w:rsidR="00ED76E3" w:rsidTr="00770A09">
        <w:trPr>
          <w:trHeight w:val="2701"/>
          <w:jc w:val="center"/>
        </w:trPr>
        <w:tc>
          <w:tcPr>
            <w:tcW w:w="2970" w:type="dxa"/>
            <w:shd w:val="clear" w:color="auto" w:fill="EAEAEA"/>
          </w:tcPr>
          <w:p w:rsidR="00ED76E3" w:rsidRPr="00ED76E3" w:rsidRDefault="00ED76E3" w:rsidP="00ED76E3">
            <w:pPr>
              <w:pStyle w:val="TableSubheading"/>
            </w:pPr>
            <w:r w:rsidRPr="00ED76E3">
              <w:t xml:space="preserve">Laboratory-Like Experiences </w:t>
            </w:r>
          </w:p>
          <w:p w:rsidR="00ED76E3" w:rsidRDefault="00ED76E3" w:rsidP="00ED76E3">
            <w:pPr>
              <w:pStyle w:val="TableText"/>
            </w:pPr>
            <w:r>
              <w:t>Groups of teacher candidates closely observe content, student learners, and instruction from a remote viewing room, with opportunities to debrief before and after each session.</w:t>
            </w:r>
          </w:p>
        </w:tc>
        <w:tc>
          <w:tcPr>
            <w:tcW w:w="1528" w:type="dxa"/>
            <w:gridSpan w:val="2"/>
          </w:tcPr>
          <w:p w:rsidR="00ED76E3" w:rsidRDefault="00ED76E3">
            <w:pPr>
              <w:pStyle w:val="NoParagraphStyle"/>
              <w:spacing w:line="240" w:lineRule="auto"/>
              <w:textAlignment w:val="auto"/>
              <w:rPr>
                <w:rFonts w:ascii="Arial" w:hAnsi="Arial" w:cs="Arial"/>
                <w:color w:val="auto"/>
              </w:rPr>
            </w:pPr>
          </w:p>
        </w:tc>
        <w:tc>
          <w:tcPr>
            <w:tcW w:w="4565" w:type="dxa"/>
          </w:tcPr>
          <w:p w:rsidR="00ED76E3" w:rsidRDefault="00ED76E3">
            <w:pPr>
              <w:pStyle w:val="NoParagraphStyle"/>
              <w:spacing w:line="240" w:lineRule="auto"/>
              <w:textAlignment w:val="auto"/>
              <w:rPr>
                <w:rFonts w:ascii="Arial" w:hAnsi="Arial" w:cs="Arial"/>
                <w:color w:val="auto"/>
              </w:rPr>
            </w:pPr>
          </w:p>
        </w:tc>
        <w:tc>
          <w:tcPr>
            <w:tcW w:w="1440" w:type="dxa"/>
          </w:tcPr>
          <w:p w:rsidR="00ED76E3" w:rsidRDefault="00ED76E3">
            <w:pPr>
              <w:pStyle w:val="NoParagraphStyle"/>
              <w:spacing w:line="240" w:lineRule="auto"/>
              <w:textAlignment w:val="auto"/>
              <w:rPr>
                <w:rFonts w:ascii="Arial" w:hAnsi="Arial" w:cs="Arial"/>
                <w:color w:val="auto"/>
              </w:rPr>
            </w:pPr>
          </w:p>
        </w:tc>
        <w:tc>
          <w:tcPr>
            <w:tcW w:w="2428" w:type="dxa"/>
          </w:tcPr>
          <w:p w:rsidR="00ED76E3" w:rsidRDefault="00ED76E3">
            <w:pPr>
              <w:pStyle w:val="NoParagraphStyle"/>
              <w:spacing w:line="240" w:lineRule="auto"/>
              <w:textAlignment w:val="auto"/>
              <w:rPr>
                <w:rFonts w:ascii="Arial" w:hAnsi="Arial" w:cs="Arial"/>
                <w:color w:val="auto"/>
              </w:rPr>
            </w:pPr>
          </w:p>
        </w:tc>
      </w:tr>
    </w:tbl>
    <w:p w:rsidR="00EE7548" w:rsidRDefault="00EE7548"/>
    <w:tbl>
      <w:tblPr>
        <w:tblStyle w:val="GTLTable1"/>
        <w:tblW w:w="5000" w:type="pct"/>
        <w:jc w:val="center"/>
        <w:tblLayout w:type="fixed"/>
        <w:tblLook w:val="0620" w:firstRow="1" w:lastRow="0" w:firstColumn="0" w:lastColumn="0" w:noHBand="1" w:noVBand="1"/>
      </w:tblPr>
      <w:tblGrid>
        <w:gridCol w:w="3109"/>
        <w:gridCol w:w="247"/>
        <w:gridCol w:w="1352"/>
        <w:gridCol w:w="4779"/>
        <w:gridCol w:w="1507"/>
        <w:gridCol w:w="2542"/>
      </w:tblGrid>
      <w:tr w:rsidR="00EE7548" w:rsidTr="00770A09">
        <w:trPr>
          <w:cnfStyle w:val="100000000000" w:firstRow="1" w:lastRow="0" w:firstColumn="0" w:lastColumn="0" w:oddVBand="0" w:evenVBand="0" w:oddHBand="0" w:evenHBand="0" w:firstRowFirstColumn="0" w:firstRowLastColumn="0" w:lastRowFirstColumn="0" w:lastRowLastColumn="0"/>
          <w:trHeight w:val="196"/>
          <w:tblHeader/>
          <w:jc w:val="center"/>
        </w:trPr>
        <w:tc>
          <w:tcPr>
            <w:tcW w:w="12931" w:type="dxa"/>
            <w:gridSpan w:val="6"/>
          </w:tcPr>
          <w:p w:rsidR="00EE7548" w:rsidRDefault="00EE7548" w:rsidP="000275B7">
            <w:pPr>
              <w:pStyle w:val="TableColumnHeadCentered"/>
            </w:pPr>
            <w:r>
              <w:lastRenderedPageBreak/>
              <w:t>FIELD-BASED</w:t>
            </w:r>
          </w:p>
        </w:tc>
      </w:tr>
      <w:tr w:rsidR="00EE7548" w:rsidTr="00770A09">
        <w:trPr>
          <w:cnfStyle w:val="100000000000" w:firstRow="1" w:lastRow="0" w:firstColumn="0" w:lastColumn="0" w:oddVBand="0" w:evenVBand="0" w:oddHBand="0" w:evenHBand="0" w:firstRowFirstColumn="0" w:firstRowLastColumn="0" w:lastRowFirstColumn="0" w:lastRowLastColumn="0"/>
          <w:trHeight w:val="60"/>
          <w:tblHeader/>
          <w:jc w:val="center"/>
        </w:trPr>
        <w:tc>
          <w:tcPr>
            <w:tcW w:w="3206" w:type="dxa"/>
            <w:gridSpan w:val="2"/>
            <w:vMerge w:val="restart"/>
            <w:shd w:val="clear" w:color="auto" w:fill="4B76A0" w:themeFill="accent1"/>
            <w:vAlign w:val="bottom"/>
          </w:tcPr>
          <w:p w:rsidR="00EE7548" w:rsidRPr="00ED76E3" w:rsidRDefault="00EE7548" w:rsidP="000275B7">
            <w:pPr>
              <w:pStyle w:val="TableColumnHeadCentered"/>
              <w:rPr>
                <w:color w:val="FFFFFF" w:themeColor="background1"/>
              </w:rPr>
            </w:pPr>
            <w:r w:rsidRPr="00ED76E3">
              <w:rPr>
                <w:color w:val="FFFFFF" w:themeColor="background1"/>
              </w:rPr>
              <w:t>Example</w:t>
            </w:r>
          </w:p>
        </w:tc>
        <w:tc>
          <w:tcPr>
            <w:tcW w:w="9725" w:type="dxa"/>
            <w:gridSpan w:val="4"/>
            <w:shd w:val="clear" w:color="auto" w:fill="4B76A0" w:themeFill="accent1"/>
          </w:tcPr>
          <w:p w:rsidR="00EE7548" w:rsidRPr="00ED76E3" w:rsidRDefault="00EE7548" w:rsidP="000275B7">
            <w:pPr>
              <w:pStyle w:val="TableColumnHeadCentered"/>
              <w:rPr>
                <w:color w:val="FFFFFF" w:themeColor="background1"/>
              </w:rPr>
            </w:pPr>
            <w:r w:rsidRPr="00ED76E3">
              <w:rPr>
                <w:color w:val="FFFFFF" w:themeColor="background1"/>
              </w:rPr>
              <w:t xml:space="preserve">Action Plan for Implementation </w:t>
            </w:r>
          </w:p>
          <w:p w:rsidR="00EE7548" w:rsidRPr="00ED76E3" w:rsidRDefault="00EE7548" w:rsidP="000275B7">
            <w:pPr>
              <w:pStyle w:val="TableColumnHeadCentered"/>
              <w:rPr>
                <w:color w:val="FFFFFF" w:themeColor="background1"/>
              </w:rPr>
            </w:pPr>
            <w:r w:rsidRPr="00ED76E3">
              <w:rPr>
                <w:rStyle w:val="MedCond"/>
                <w:b w:val="0"/>
                <w:bCs w:val="0"/>
                <w:color w:val="FFFFFF" w:themeColor="background1"/>
              </w:rPr>
              <w:t>Identify course(s) and/or resources for implementation</w:t>
            </w:r>
            <w:r w:rsidR="00525D7E">
              <w:rPr>
                <w:rStyle w:val="MedCond"/>
                <w:b w:val="0"/>
                <w:bCs w:val="0"/>
                <w:color w:val="FFFFFF" w:themeColor="background1"/>
              </w:rPr>
              <w:t xml:space="preserve"> </w:t>
            </w:r>
          </w:p>
        </w:tc>
      </w:tr>
      <w:tr w:rsidR="00770A09" w:rsidTr="00770A09">
        <w:trPr>
          <w:cnfStyle w:val="100000000000" w:firstRow="1" w:lastRow="0" w:firstColumn="0" w:lastColumn="0" w:oddVBand="0" w:evenVBand="0" w:oddHBand="0" w:evenHBand="0" w:firstRowFirstColumn="0" w:firstRowLastColumn="0" w:lastRowFirstColumn="0" w:lastRowLastColumn="0"/>
          <w:trHeight w:val="60"/>
          <w:tblHeader/>
          <w:jc w:val="center"/>
        </w:trPr>
        <w:tc>
          <w:tcPr>
            <w:tcW w:w="3206" w:type="dxa"/>
            <w:gridSpan w:val="2"/>
            <w:vMerge/>
            <w:shd w:val="clear" w:color="auto" w:fill="4B76A0" w:themeFill="accent1"/>
          </w:tcPr>
          <w:p w:rsidR="00EE7548" w:rsidRPr="00ED76E3" w:rsidRDefault="00EE7548" w:rsidP="000275B7">
            <w:pPr>
              <w:pStyle w:val="TableColumnHeadCentered"/>
              <w:rPr>
                <w:rFonts w:ascii="Arial" w:hAnsi="Arial" w:cs="Arial"/>
                <w:color w:val="FFFFFF" w:themeColor="background1"/>
              </w:rPr>
            </w:pPr>
          </w:p>
        </w:tc>
        <w:tc>
          <w:tcPr>
            <w:tcW w:w="1292" w:type="dxa"/>
            <w:shd w:val="clear" w:color="auto" w:fill="4B76A0" w:themeFill="accent1"/>
          </w:tcPr>
          <w:p w:rsidR="00EE7548" w:rsidRPr="00ED76E3" w:rsidRDefault="00EE7548" w:rsidP="000275B7">
            <w:pPr>
              <w:pStyle w:val="TableColumnHeadCentered"/>
              <w:rPr>
                <w:color w:val="FFFFFF" w:themeColor="background1"/>
              </w:rPr>
            </w:pPr>
            <w:r w:rsidRPr="00ED76E3">
              <w:rPr>
                <w:color w:val="FFFFFF" w:themeColor="background1"/>
              </w:rPr>
              <w:t xml:space="preserve">Course(s) </w:t>
            </w:r>
          </w:p>
        </w:tc>
        <w:tc>
          <w:tcPr>
            <w:tcW w:w="4565" w:type="dxa"/>
            <w:shd w:val="clear" w:color="auto" w:fill="4B76A0" w:themeFill="accent1"/>
          </w:tcPr>
          <w:p w:rsidR="00EE7548" w:rsidRPr="00ED76E3" w:rsidRDefault="00EE7548" w:rsidP="000275B7">
            <w:pPr>
              <w:pStyle w:val="TableColumnHeadCentered"/>
              <w:rPr>
                <w:color w:val="FFFFFF" w:themeColor="background1"/>
              </w:rPr>
            </w:pPr>
            <w:r w:rsidRPr="00ED76E3">
              <w:rPr>
                <w:color w:val="FFFFFF" w:themeColor="background1"/>
              </w:rPr>
              <w:t>Steps to Planning and Implementation</w:t>
            </w:r>
          </w:p>
        </w:tc>
        <w:tc>
          <w:tcPr>
            <w:tcW w:w="1440" w:type="dxa"/>
            <w:shd w:val="clear" w:color="auto" w:fill="4B76A0" w:themeFill="accent1"/>
          </w:tcPr>
          <w:p w:rsidR="00EE7548" w:rsidRPr="00ED76E3" w:rsidRDefault="00EE7548" w:rsidP="000275B7">
            <w:pPr>
              <w:pStyle w:val="TableColumnHeadCentered"/>
              <w:rPr>
                <w:color w:val="FFFFFF" w:themeColor="background1"/>
              </w:rPr>
            </w:pPr>
            <w:r w:rsidRPr="00ED76E3">
              <w:rPr>
                <w:color w:val="FFFFFF" w:themeColor="background1"/>
              </w:rPr>
              <w:t>Timeline</w:t>
            </w:r>
          </w:p>
        </w:tc>
        <w:tc>
          <w:tcPr>
            <w:tcW w:w="2428" w:type="dxa"/>
            <w:shd w:val="clear" w:color="auto" w:fill="4B76A0" w:themeFill="accent1"/>
          </w:tcPr>
          <w:p w:rsidR="00EE7548" w:rsidRPr="00ED76E3" w:rsidRDefault="00EE7548" w:rsidP="000275B7">
            <w:pPr>
              <w:pStyle w:val="TableColumnHeadCentered"/>
              <w:rPr>
                <w:color w:val="FFFFFF" w:themeColor="background1"/>
              </w:rPr>
            </w:pPr>
            <w:r w:rsidRPr="00ED76E3">
              <w:rPr>
                <w:color w:val="FFFFFF" w:themeColor="background1"/>
              </w:rPr>
              <w:t>Responsible Party</w:t>
            </w:r>
          </w:p>
        </w:tc>
      </w:tr>
      <w:tr w:rsidR="00EE7548" w:rsidTr="00770A09">
        <w:trPr>
          <w:trHeight w:val="2771"/>
          <w:jc w:val="center"/>
        </w:trPr>
        <w:tc>
          <w:tcPr>
            <w:tcW w:w="2970" w:type="dxa"/>
            <w:shd w:val="clear" w:color="auto" w:fill="EAEAEA"/>
          </w:tcPr>
          <w:p w:rsidR="00ED76E3" w:rsidRPr="00ED76E3" w:rsidRDefault="00ED76E3" w:rsidP="00ED76E3">
            <w:pPr>
              <w:pStyle w:val="TableSubheading"/>
            </w:pPr>
            <w:r w:rsidRPr="00ED76E3">
              <w:t>Coursework-Aligned, Fie</w:t>
            </w:r>
            <w:r>
              <w:t>ld-Based Practice Opportunities</w:t>
            </w:r>
          </w:p>
          <w:p w:rsidR="00ED76E3" w:rsidRDefault="00ED76E3" w:rsidP="00ED76E3">
            <w:pPr>
              <w:pStyle w:val="TableText"/>
            </w:pPr>
            <w:r>
              <w:t>Field-based placements that are closely aligned with program coursework. Candidates are provided opportunities to practice the knowledge and skills they acquired through coursework in authentic settings.</w:t>
            </w:r>
          </w:p>
        </w:tc>
        <w:tc>
          <w:tcPr>
            <w:tcW w:w="1528" w:type="dxa"/>
            <w:gridSpan w:val="2"/>
            <w:shd w:val="clear" w:color="auto" w:fill="auto"/>
          </w:tcPr>
          <w:p w:rsidR="00ED76E3" w:rsidRDefault="00ED76E3">
            <w:pPr>
              <w:pStyle w:val="NoParagraphStyle"/>
              <w:spacing w:line="240" w:lineRule="auto"/>
              <w:textAlignment w:val="auto"/>
              <w:rPr>
                <w:rFonts w:ascii="Arial" w:hAnsi="Arial" w:cs="Arial"/>
                <w:color w:val="auto"/>
              </w:rPr>
            </w:pPr>
          </w:p>
        </w:tc>
        <w:tc>
          <w:tcPr>
            <w:tcW w:w="4565" w:type="dxa"/>
            <w:shd w:val="clear" w:color="auto" w:fill="auto"/>
          </w:tcPr>
          <w:p w:rsidR="00ED76E3" w:rsidRDefault="00ED76E3">
            <w:pPr>
              <w:pStyle w:val="NoParagraphStyle"/>
              <w:spacing w:line="240" w:lineRule="auto"/>
              <w:textAlignment w:val="auto"/>
              <w:rPr>
                <w:rFonts w:ascii="Arial" w:hAnsi="Arial" w:cs="Arial"/>
                <w:color w:val="auto"/>
              </w:rPr>
            </w:pPr>
          </w:p>
        </w:tc>
        <w:tc>
          <w:tcPr>
            <w:tcW w:w="1440" w:type="dxa"/>
            <w:shd w:val="clear" w:color="auto" w:fill="auto"/>
          </w:tcPr>
          <w:p w:rsidR="00ED76E3" w:rsidRDefault="00ED76E3">
            <w:pPr>
              <w:pStyle w:val="NoParagraphStyle"/>
              <w:spacing w:line="240" w:lineRule="auto"/>
              <w:textAlignment w:val="auto"/>
              <w:rPr>
                <w:rFonts w:ascii="Arial" w:hAnsi="Arial" w:cs="Arial"/>
                <w:color w:val="auto"/>
              </w:rPr>
            </w:pPr>
          </w:p>
        </w:tc>
        <w:tc>
          <w:tcPr>
            <w:tcW w:w="2428" w:type="dxa"/>
            <w:shd w:val="clear" w:color="auto" w:fill="auto"/>
          </w:tcPr>
          <w:p w:rsidR="00ED76E3" w:rsidRDefault="00ED76E3">
            <w:pPr>
              <w:pStyle w:val="NoParagraphStyle"/>
              <w:spacing w:line="240" w:lineRule="auto"/>
              <w:textAlignment w:val="auto"/>
              <w:rPr>
                <w:rFonts w:ascii="Arial" w:hAnsi="Arial" w:cs="Arial"/>
                <w:color w:val="auto"/>
              </w:rPr>
            </w:pPr>
          </w:p>
        </w:tc>
      </w:tr>
      <w:tr w:rsidR="00ED76E3" w:rsidTr="00770A09">
        <w:trPr>
          <w:trHeight w:val="2771"/>
          <w:jc w:val="center"/>
        </w:trPr>
        <w:tc>
          <w:tcPr>
            <w:tcW w:w="2970" w:type="dxa"/>
            <w:shd w:val="clear" w:color="auto" w:fill="EAEAEA"/>
          </w:tcPr>
          <w:p w:rsidR="00ED76E3" w:rsidRPr="00ED76E3" w:rsidRDefault="00ED76E3" w:rsidP="00ED76E3">
            <w:pPr>
              <w:pStyle w:val="TableSubheading"/>
            </w:pPr>
            <w:r w:rsidRPr="00ED76E3">
              <w:t>Video Analysis</w:t>
            </w:r>
          </w:p>
          <w:p w:rsidR="00ED76E3" w:rsidRDefault="00ED76E3" w:rsidP="00ED76E3">
            <w:pPr>
              <w:pStyle w:val="TableText"/>
            </w:pPr>
            <w:r>
              <w:t xml:space="preserve">Practice in which teachers’ instructional experiences are captured on video and used as a tool for teacher educators to engage candidates in observation, analysis, and discussion concerning effective practice. </w:t>
            </w:r>
          </w:p>
        </w:tc>
        <w:tc>
          <w:tcPr>
            <w:tcW w:w="1528" w:type="dxa"/>
            <w:gridSpan w:val="2"/>
          </w:tcPr>
          <w:p w:rsidR="00ED76E3" w:rsidRDefault="00ED76E3">
            <w:pPr>
              <w:pStyle w:val="NoParagraphStyle"/>
              <w:spacing w:line="240" w:lineRule="auto"/>
              <w:textAlignment w:val="auto"/>
              <w:rPr>
                <w:rFonts w:ascii="Arial" w:hAnsi="Arial" w:cs="Arial"/>
                <w:color w:val="auto"/>
              </w:rPr>
            </w:pPr>
          </w:p>
        </w:tc>
        <w:tc>
          <w:tcPr>
            <w:tcW w:w="4565" w:type="dxa"/>
          </w:tcPr>
          <w:p w:rsidR="00ED76E3" w:rsidRDefault="00ED76E3">
            <w:pPr>
              <w:pStyle w:val="NoParagraphStyle"/>
              <w:spacing w:line="240" w:lineRule="auto"/>
              <w:textAlignment w:val="auto"/>
              <w:rPr>
                <w:rFonts w:ascii="Arial" w:hAnsi="Arial" w:cs="Arial"/>
                <w:color w:val="auto"/>
              </w:rPr>
            </w:pPr>
          </w:p>
        </w:tc>
        <w:tc>
          <w:tcPr>
            <w:tcW w:w="1440" w:type="dxa"/>
          </w:tcPr>
          <w:p w:rsidR="00ED76E3" w:rsidRDefault="00ED76E3">
            <w:pPr>
              <w:pStyle w:val="NoParagraphStyle"/>
              <w:spacing w:line="240" w:lineRule="auto"/>
              <w:textAlignment w:val="auto"/>
              <w:rPr>
                <w:rFonts w:ascii="Arial" w:hAnsi="Arial" w:cs="Arial"/>
                <w:color w:val="auto"/>
              </w:rPr>
            </w:pPr>
          </w:p>
        </w:tc>
        <w:tc>
          <w:tcPr>
            <w:tcW w:w="2428" w:type="dxa"/>
          </w:tcPr>
          <w:p w:rsidR="00ED76E3" w:rsidRDefault="00ED76E3">
            <w:pPr>
              <w:pStyle w:val="NoParagraphStyle"/>
              <w:spacing w:line="240" w:lineRule="auto"/>
              <w:textAlignment w:val="auto"/>
              <w:rPr>
                <w:rFonts w:ascii="Arial" w:hAnsi="Arial" w:cs="Arial"/>
                <w:color w:val="auto"/>
              </w:rPr>
            </w:pPr>
          </w:p>
        </w:tc>
      </w:tr>
      <w:tr w:rsidR="00ED76E3" w:rsidTr="00770A09">
        <w:trPr>
          <w:trHeight w:val="2771"/>
          <w:jc w:val="center"/>
        </w:trPr>
        <w:tc>
          <w:tcPr>
            <w:tcW w:w="2970" w:type="dxa"/>
            <w:shd w:val="clear" w:color="auto" w:fill="EAEAEA"/>
          </w:tcPr>
          <w:p w:rsidR="00ED76E3" w:rsidRPr="00E92993" w:rsidRDefault="00E92993" w:rsidP="00E92993">
            <w:pPr>
              <w:pStyle w:val="TableSubheading"/>
            </w:pPr>
            <w:r w:rsidRPr="00E92993">
              <w:t>Tutoring</w:t>
            </w:r>
          </w:p>
          <w:p w:rsidR="00ED76E3" w:rsidRDefault="00ED76E3" w:rsidP="00E92993">
            <w:pPr>
              <w:pStyle w:val="TableText"/>
            </w:pPr>
            <w:r>
              <w:t>A structured opportunity to practice, such as teaching one on one, that allows candidates to practice teaching using newly acquired knowledge and skills within a controlled environment.</w:t>
            </w:r>
          </w:p>
        </w:tc>
        <w:tc>
          <w:tcPr>
            <w:tcW w:w="1528" w:type="dxa"/>
            <w:gridSpan w:val="2"/>
          </w:tcPr>
          <w:p w:rsidR="00ED76E3" w:rsidRDefault="00ED76E3">
            <w:pPr>
              <w:pStyle w:val="NoParagraphStyle"/>
              <w:spacing w:line="240" w:lineRule="auto"/>
              <w:textAlignment w:val="auto"/>
              <w:rPr>
                <w:rFonts w:ascii="Arial" w:hAnsi="Arial" w:cs="Arial"/>
                <w:color w:val="auto"/>
              </w:rPr>
            </w:pPr>
          </w:p>
        </w:tc>
        <w:tc>
          <w:tcPr>
            <w:tcW w:w="4565" w:type="dxa"/>
          </w:tcPr>
          <w:p w:rsidR="00ED76E3" w:rsidRDefault="00ED76E3">
            <w:pPr>
              <w:pStyle w:val="NoParagraphStyle"/>
              <w:spacing w:line="240" w:lineRule="auto"/>
              <w:textAlignment w:val="auto"/>
              <w:rPr>
                <w:rFonts w:ascii="Arial" w:hAnsi="Arial" w:cs="Arial"/>
                <w:color w:val="auto"/>
              </w:rPr>
            </w:pPr>
          </w:p>
        </w:tc>
        <w:tc>
          <w:tcPr>
            <w:tcW w:w="1440" w:type="dxa"/>
          </w:tcPr>
          <w:p w:rsidR="00ED76E3" w:rsidRDefault="00ED76E3">
            <w:pPr>
              <w:pStyle w:val="NoParagraphStyle"/>
              <w:spacing w:line="240" w:lineRule="auto"/>
              <w:textAlignment w:val="auto"/>
              <w:rPr>
                <w:rFonts w:ascii="Arial" w:hAnsi="Arial" w:cs="Arial"/>
                <w:color w:val="auto"/>
              </w:rPr>
            </w:pPr>
          </w:p>
        </w:tc>
        <w:tc>
          <w:tcPr>
            <w:tcW w:w="2428" w:type="dxa"/>
          </w:tcPr>
          <w:p w:rsidR="00ED76E3" w:rsidRDefault="00ED76E3">
            <w:pPr>
              <w:pStyle w:val="NoParagraphStyle"/>
              <w:spacing w:line="240" w:lineRule="auto"/>
              <w:textAlignment w:val="auto"/>
              <w:rPr>
                <w:rFonts w:ascii="Arial" w:hAnsi="Arial" w:cs="Arial"/>
                <w:color w:val="auto"/>
              </w:rPr>
            </w:pPr>
          </w:p>
        </w:tc>
      </w:tr>
      <w:tr w:rsidR="00ED76E3" w:rsidTr="00770A09">
        <w:trPr>
          <w:trHeight w:val="3031"/>
          <w:jc w:val="center"/>
        </w:trPr>
        <w:tc>
          <w:tcPr>
            <w:tcW w:w="2970" w:type="dxa"/>
            <w:shd w:val="clear" w:color="auto" w:fill="EAEAEA"/>
          </w:tcPr>
          <w:p w:rsidR="00ED76E3" w:rsidRPr="00E92993" w:rsidRDefault="00E92993" w:rsidP="00E92993">
            <w:pPr>
              <w:pStyle w:val="TableSubheading"/>
            </w:pPr>
            <w:r w:rsidRPr="00E92993">
              <w:lastRenderedPageBreak/>
              <w:t>Lesson Study</w:t>
            </w:r>
          </w:p>
          <w:p w:rsidR="00ED76E3" w:rsidRDefault="00ED76E3" w:rsidP="00E92993">
            <w:pPr>
              <w:pStyle w:val="TableText"/>
            </w:pPr>
            <w:r>
              <w:t>A collaborative, practice-based approach that involves teams of novice teachers in collaboratively (</w:t>
            </w:r>
            <w:r>
              <w:rPr>
                <w:spacing w:val="-2"/>
              </w:rPr>
              <w:t>a) analyzing student data, academic standards, and curriculum;</w:t>
            </w:r>
            <w:r>
              <w:t xml:space="preserve"> (b) planning a lesson based on that analysis; (c) implementing the instruction with assigned students; (d) analyzing the instruction and its impact on student learning; and (e) debriefing about the lesson and discussing next steps.</w:t>
            </w:r>
          </w:p>
        </w:tc>
        <w:tc>
          <w:tcPr>
            <w:tcW w:w="1528" w:type="dxa"/>
            <w:gridSpan w:val="2"/>
          </w:tcPr>
          <w:p w:rsidR="00ED76E3" w:rsidRDefault="00ED76E3">
            <w:pPr>
              <w:pStyle w:val="NoParagraphStyle"/>
              <w:spacing w:line="240" w:lineRule="auto"/>
              <w:textAlignment w:val="auto"/>
              <w:rPr>
                <w:rFonts w:ascii="Arial" w:hAnsi="Arial" w:cs="Arial"/>
                <w:color w:val="auto"/>
              </w:rPr>
            </w:pPr>
          </w:p>
        </w:tc>
        <w:tc>
          <w:tcPr>
            <w:tcW w:w="4565" w:type="dxa"/>
          </w:tcPr>
          <w:p w:rsidR="00ED76E3" w:rsidRDefault="00ED76E3">
            <w:pPr>
              <w:pStyle w:val="NoParagraphStyle"/>
              <w:spacing w:line="240" w:lineRule="auto"/>
              <w:textAlignment w:val="auto"/>
              <w:rPr>
                <w:rFonts w:ascii="Arial" w:hAnsi="Arial" w:cs="Arial"/>
                <w:color w:val="auto"/>
              </w:rPr>
            </w:pPr>
          </w:p>
        </w:tc>
        <w:tc>
          <w:tcPr>
            <w:tcW w:w="1440" w:type="dxa"/>
          </w:tcPr>
          <w:p w:rsidR="00ED76E3" w:rsidRDefault="00ED76E3">
            <w:pPr>
              <w:pStyle w:val="NoParagraphStyle"/>
              <w:spacing w:line="240" w:lineRule="auto"/>
              <w:textAlignment w:val="auto"/>
              <w:rPr>
                <w:rFonts w:ascii="Arial" w:hAnsi="Arial" w:cs="Arial"/>
                <w:color w:val="auto"/>
              </w:rPr>
            </w:pPr>
          </w:p>
        </w:tc>
        <w:tc>
          <w:tcPr>
            <w:tcW w:w="2428" w:type="dxa"/>
          </w:tcPr>
          <w:p w:rsidR="00ED76E3" w:rsidRDefault="00ED76E3">
            <w:pPr>
              <w:pStyle w:val="NoParagraphStyle"/>
              <w:spacing w:line="240" w:lineRule="auto"/>
              <w:textAlignment w:val="auto"/>
              <w:rPr>
                <w:rFonts w:ascii="Arial" w:hAnsi="Arial" w:cs="Arial"/>
                <w:color w:val="auto"/>
              </w:rPr>
            </w:pPr>
          </w:p>
        </w:tc>
      </w:tr>
      <w:tr w:rsidR="00ED76E3" w:rsidTr="00770A09">
        <w:trPr>
          <w:trHeight w:val="3031"/>
          <w:jc w:val="center"/>
        </w:trPr>
        <w:tc>
          <w:tcPr>
            <w:tcW w:w="2970" w:type="dxa"/>
            <w:shd w:val="clear" w:color="auto" w:fill="EAEAEA"/>
          </w:tcPr>
          <w:p w:rsidR="00ED76E3" w:rsidRPr="00E92993" w:rsidRDefault="00E92993" w:rsidP="00E92993">
            <w:pPr>
              <w:pStyle w:val="TableSubheading"/>
            </w:pPr>
            <w:r w:rsidRPr="00E92993">
              <w:t>Coaching</w:t>
            </w:r>
          </w:p>
          <w:p w:rsidR="00ED76E3" w:rsidRDefault="00ED76E3" w:rsidP="00E92993">
            <w:pPr>
              <w:pStyle w:val="TableText"/>
            </w:pPr>
            <w:r>
              <w:t>A practice used within EPPs during field experiences wherein candidates are provided with coaching and feedback to improve their skill implementation.</w:t>
            </w:r>
          </w:p>
        </w:tc>
        <w:tc>
          <w:tcPr>
            <w:tcW w:w="1528" w:type="dxa"/>
            <w:gridSpan w:val="2"/>
          </w:tcPr>
          <w:p w:rsidR="00ED76E3" w:rsidRDefault="00ED76E3">
            <w:pPr>
              <w:pStyle w:val="NoParagraphStyle"/>
              <w:spacing w:line="240" w:lineRule="auto"/>
              <w:textAlignment w:val="auto"/>
              <w:rPr>
                <w:rFonts w:ascii="Arial" w:hAnsi="Arial" w:cs="Arial"/>
                <w:color w:val="auto"/>
              </w:rPr>
            </w:pPr>
          </w:p>
        </w:tc>
        <w:tc>
          <w:tcPr>
            <w:tcW w:w="4565" w:type="dxa"/>
          </w:tcPr>
          <w:p w:rsidR="00ED76E3" w:rsidRDefault="00ED76E3">
            <w:pPr>
              <w:pStyle w:val="NoParagraphStyle"/>
              <w:spacing w:line="240" w:lineRule="auto"/>
              <w:textAlignment w:val="auto"/>
              <w:rPr>
                <w:rFonts w:ascii="Arial" w:hAnsi="Arial" w:cs="Arial"/>
                <w:color w:val="auto"/>
              </w:rPr>
            </w:pPr>
          </w:p>
        </w:tc>
        <w:tc>
          <w:tcPr>
            <w:tcW w:w="1440" w:type="dxa"/>
          </w:tcPr>
          <w:p w:rsidR="00ED76E3" w:rsidRDefault="00ED76E3">
            <w:pPr>
              <w:pStyle w:val="NoParagraphStyle"/>
              <w:spacing w:line="240" w:lineRule="auto"/>
              <w:textAlignment w:val="auto"/>
              <w:rPr>
                <w:rFonts w:ascii="Arial" w:hAnsi="Arial" w:cs="Arial"/>
                <w:color w:val="auto"/>
              </w:rPr>
            </w:pPr>
          </w:p>
        </w:tc>
        <w:tc>
          <w:tcPr>
            <w:tcW w:w="2428" w:type="dxa"/>
          </w:tcPr>
          <w:p w:rsidR="00ED76E3" w:rsidRDefault="00ED76E3">
            <w:pPr>
              <w:pStyle w:val="NoParagraphStyle"/>
              <w:spacing w:line="240" w:lineRule="auto"/>
              <w:textAlignment w:val="auto"/>
              <w:rPr>
                <w:rFonts w:ascii="Arial" w:hAnsi="Arial" w:cs="Arial"/>
                <w:color w:val="auto"/>
              </w:rPr>
            </w:pPr>
          </w:p>
        </w:tc>
      </w:tr>
    </w:tbl>
    <w:p w:rsidR="00ED76E3" w:rsidRDefault="00ED76E3" w:rsidP="00E92993">
      <w:pPr>
        <w:pStyle w:val="Heading2"/>
      </w:pPr>
      <w:bookmarkStart w:id="11" w:name="_Toc455597971"/>
      <w:r>
        <w:t>References</w:t>
      </w:r>
      <w:bookmarkEnd w:id="11"/>
    </w:p>
    <w:p w:rsidR="00ED76E3" w:rsidRDefault="00ED76E3" w:rsidP="00ED76E3">
      <w:pPr>
        <w:pStyle w:val="References"/>
      </w:pPr>
      <w:r>
        <w:t xml:space="preserve">Boyd, D., Grossman, P., Lankford, H., Loeb, S., Wyckoff, J., &amp; Urban, I. (2009). Teacher preparation and student achievement. </w:t>
      </w:r>
      <w:r>
        <w:rPr>
          <w:rStyle w:val="ital"/>
        </w:rPr>
        <w:t>Education Evaluation and Policy Analysis, 31</w:t>
      </w:r>
      <w:r>
        <w:t>(4), 416–440. doi:10.3102/0162373709353129</w:t>
      </w:r>
    </w:p>
    <w:p w:rsidR="00C7738D" w:rsidRDefault="00ED76E3" w:rsidP="00E92993">
      <w:pPr>
        <w:pStyle w:val="References"/>
        <w:sectPr w:rsidR="00C7738D" w:rsidSect="00ED76E3">
          <w:type w:val="continuous"/>
          <w:pgSz w:w="15840" w:h="12240" w:orient="landscape"/>
          <w:pgMar w:top="1080" w:right="1080" w:bottom="1440" w:left="1440" w:header="720" w:footer="720" w:gutter="0"/>
          <w:cols w:space="720"/>
          <w:noEndnote/>
          <w:docGrid w:linePitch="326"/>
        </w:sectPr>
      </w:pPr>
      <w:r>
        <w:t xml:space="preserve">Ronfeldt, M., &amp; Reininger, M. (2012). More or better student teaching? </w:t>
      </w:r>
      <w:r>
        <w:rPr>
          <w:rStyle w:val="ital"/>
        </w:rPr>
        <w:t>Teaching and Teacher Education, 28</w:t>
      </w:r>
      <w:r>
        <w:t>(8), 1091–1106.</w:t>
      </w:r>
    </w:p>
    <w:tbl>
      <w:tblPr>
        <w:tblStyle w:val="TableGrid"/>
        <w:tblW w:w="5000" w:type="pct"/>
        <w:jc w:val="center"/>
        <w:tblLook w:val="04A0" w:firstRow="1" w:lastRow="0" w:firstColumn="1" w:lastColumn="0" w:noHBand="0" w:noVBand="1"/>
      </w:tblPr>
      <w:tblGrid>
        <w:gridCol w:w="14616"/>
      </w:tblGrid>
      <w:tr w:rsidR="00C7738D" w:rsidTr="00D15A9E">
        <w:trPr>
          <w:trHeight w:val="7380"/>
          <w:jc w:val="center"/>
        </w:trPr>
        <w:tc>
          <w:tcPr>
            <w:tcW w:w="14400" w:type="dxa"/>
            <w:tcBorders>
              <w:top w:val="nil"/>
              <w:left w:val="nil"/>
              <w:bottom w:val="nil"/>
              <w:right w:val="nil"/>
            </w:tcBorders>
            <w:vAlign w:val="center"/>
          </w:tcPr>
          <w:p w:rsidR="00C7738D" w:rsidRPr="00C7738D" w:rsidRDefault="00D15A9E" w:rsidP="00D15A9E">
            <w:pPr>
              <w:pStyle w:val="References"/>
              <w:spacing w:line="240" w:lineRule="auto"/>
              <w:ind w:left="1152" w:right="1080" w:firstLine="0"/>
              <w:rPr>
                <w:sz w:val="16"/>
                <w:szCs w:val="16"/>
              </w:rPr>
            </w:pPr>
            <w:r w:rsidRPr="00D15A9E">
              <w:rPr>
                <w:noProof/>
                <w:sz w:val="16"/>
                <w:szCs w:val="16"/>
              </w:rPr>
              <w:lastRenderedPageBreak/>
              <w:drawing>
                <wp:anchor distT="0" distB="0" distL="114300" distR="114300" simplePos="0" relativeHeight="251665408" behindDoc="0" locked="0" layoutInCell="1" allowOverlap="1" wp14:anchorId="1078AD72" wp14:editId="00A2AEB5">
                  <wp:simplePos x="0" y="0"/>
                  <wp:positionH relativeFrom="column">
                    <wp:posOffset>3001645</wp:posOffset>
                  </wp:positionH>
                  <wp:positionV relativeFrom="paragraph">
                    <wp:posOffset>3590290</wp:posOffset>
                  </wp:positionV>
                  <wp:extent cx="862330" cy="862330"/>
                  <wp:effectExtent l="0" t="0" r="0" b="0"/>
                  <wp:wrapNone/>
                  <wp:docPr id="5" name="Picture 5" descr="\\il1filesvr\groups\Editing\___Templates_Word-PPT\NCII\Graphics\ideas_that_work_425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1filesvr\groups\Editing\___Templates_Word-PPT\NCII\Graphics\ideas_that_work_425x4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5A9E">
              <w:rPr>
                <w:noProof/>
                <w:sz w:val="16"/>
                <w:szCs w:val="16"/>
              </w:rPr>
              <w:drawing>
                <wp:anchor distT="0" distB="0" distL="114300" distR="114300" simplePos="0" relativeHeight="251664384" behindDoc="0" locked="0" layoutInCell="1" allowOverlap="1" wp14:anchorId="78B2DEE6" wp14:editId="011E0928">
                  <wp:simplePos x="0" y="0"/>
                  <wp:positionH relativeFrom="column">
                    <wp:posOffset>862330</wp:posOffset>
                  </wp:positionH>
                  <wp:positionV relativeFrom="paragraph">
                    <wp:posOffset>3791585</wp:posOffset>
                  </wp:positionV>
                  <wp:extent cx="1957705" cy="59245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7705" cy="592455"/>
                          </a:xfrm>
                          <a:prstGeom prst="rect">
                            <a:avLst/>
                          </a:prstGeom>
                          <a:noFill/>
                        </pic:spPr>
                      </pic:pic>
                    </a:graphicData>
                  </a:graphic>
                  <wp14:sizeRelH relativeFrom="margin">
                    <wp14:pctWidth>0</wp14:pctWidth>
                  </wp14:sizeRelH>
                  <wp14:sizeRelV relativeFrom="margin">
                    <wp14:pctHeight>0</wp14:pctHeight>
                  </wp14:sizeRelV>
                </wp:anchor>
              </w:drawing>
            </w:r>
          </w:p>
        </w:tc>
      </w:tr>
      <w:tr w:rsidR="00C7738D" w:rsidRPr="00C7738D" w:rsidTr="00D15A9E">
        <w:trPr>
          <w:trHeight w:val="2700"/>
          <w:jc w:val="center"/>
        </w:trPr>
        <w:tc>
          <w:tcPr>
            <w:tcW w:w="14400" w:type="dxa"/>
            <w:tcBorders>
              <w:top w:val="nil"/>
              <w:left w:val="nil"/>
              <w:bottom w:val="nil"/>
              <w:right w:val="nil"/>
            </w:tcBorders>
            <w:shd w:val="clear" w:color="auto" w:fill="003462" w:themeFill="text2"/>
            <w:vAlign w:val="center"/>
          </w:tcPr>
          <w:p w:rsidR="00C7738D" w:rsidRPr="00C7738D" w:rsidRDefault="00C7738D" w:rsidP="00D15A9E">
            <w:pPr>
              <w:ind w:left="1152" w:right="1080"/>
              <w:rPr>
                <w:rFonts w:eastAsiaTheme="minorEastAsia"/>
                <w:sz w:val="16"/>
                <w:szCs w:val="16"/>
              </w:rPr>
            </w:pPr>
            <w:r w:rsidRPr="00C7738D">
              <w:rPr>
                <w:rFonts w:eastAsiaTheme="minorEastAsia"/>
                <w:sz w:val="16"/>
                <w:szCs w:val="16"/>
              </w:rPr>
              <w:t>Copyright © 2016 American Institutes for Research and University of Florida. All rights reserved.</w:t>
            </w:r>
          </w:p>
          <w:p w:rsidR="00C7738D" w:rsidRPr="00C7738D" w:rsidRDefault="00C7738D" w:rsidP="00D15A9E">
            <w:pPr>
              <w:spacing w:before="120"/>
              <w:ind w:left="1152" w:right="1080"/>
              <w:rPr>
                <w:rFonts w:eastAsiaTheme="minorEastAsia"/>
                <w:sz w:val="16"/>
                <w:szCs w:val="16"/>
              </w:rPr>
            </w:pPr>
            <w:r w:rsidRPr="00C7738D">
              <w:rPr>
                <w:rFonts w:eastAsiaTheme="minorEastAsia"/>
                <w:sz w:val="16"/>
                <w:szCs w:val="16"/>
              </w:rPr>
              <w:t>This resource was produced under U.S. Department of Education, Office of Special Education Programs, Award No. H325A120003. Bonnie Jones and David Guardino serve as the project officers. The views expressed herein do not necessarily represent the positions or policies of the U.S. Department of Education. No official endorsement by the U.S. Department of Education of any product, commodity, service, or enterprise mentioned in this website is intended or should be inferred.</w:t>
            </w:r>
          </w:p>
          <w:p w:rsidR="00C7738D" w:rsidRPr="00C7738D" w:rsidRDefault="00C7738D" w:rsidP="00D15A9E">
            <w:pPr>
              <w:spacing w:before="600"/>
              <w:ind w:left="1152" w:right="1080"/>
              <w:jc w:val="right"/>
              <w:rPr>
                <w:rFonts w:eastAsiaTheme="minorEastAsia"/>
                <w:sz w:val="16"/>
                <w:szCs w:val="16"/>
              </w:rPr>
            </w:pPr>
            <w:r>
              <w:rPr>
                <w:rFonts w:eastAsiaTheme="minorEastAsia"/>
                <w:sz w:val="16"/>
                <w:szCs w:val="16"/>
              </w:rPr>
              <w:t>5979_0</w:t>
            </w:r>
            <w:r w:rsidR="00D15A9E">
              <w:rPr>
                <w:rFonts w:eastAsiaTheme="minorEastAsia"/>
                <w:sz w:val="16"/>
                <w:szCs w:val="16"/>
              </w:rPr>
              <w:t>7</w:t>
            </w:r>
            <w:r>
              <w:rPr>
                <w:rFonts w:eastAsiaTheme="minorEastAsia"/>
                <w:sz w:val="16"/>
                <w:szCs w:val="16"/>
              </w:rPr>
              <w:t>/16</w:t>
            </w:r>
          </w:p>
        </w:tc>
      </w:tr>
    </w:tbl>
    <w:p w:rsidR="00C7738D" w:rsidRPr="00D15A9E" w:rsidRDefault="00C7738D" w:rsidP="00D15A9E">
      <w:pPr>
        <w:pStyle w:val="References"/>
        <w:spacing w:before="0" w:line="240" w:lineRule="auto"/>
        <w:ind w:left="0" w:firstLine="0"/>
        <w:rPr>
          <w:sz w:val="2"/>
          <w:szCs w:val="2"/>
        </w:rPr>
      </w:pPr>
    </w:p>
    <w:sectPr w:rsidR="00C7738D" w:rsidRPr="00D15A9E" w:rsidSect="00C7738D">
      <w:headerReference w:type="default" r:id="rId31"/>
      <w:footerReference w:type="default" r:id="rId32"/>
      <w:pgSz w:w="15840" w:h="12240"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A2" w:rsidRDefault="00B66FA2" w:rsidP="00F712CC">
      <w:r>
        <w:separator/>
      </w:r>
    </w:p>
    <w:p w:rsidR="00B66FA2" w:rsidRDefault="00B66FA2"/>
  </w:endnote>
  <w:endnote w:type="continuationSeparator" w:id="0">
    <w:p w:rsidR="00B66FA2" w:rsidRDefault="00B66FA2" w:rsidP="00F712CC">
      <w:r>
        <w:continuationSeparator/>
      </w:r>
    </w:p>
    <w:p w:rsidR="00B66FA2" w:rsidRDefault="00B66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ITC Franklin Gothic Std Bk Cd">
    <w:panose1 w:val="00000000000000000000"/>
    <w:charset w:val="00"/>
    <w:family w:val="swiss"/>
    <w:notTrueType/>
    <w:pitch w:val="variable"/>
    <w:sig w:usb0="800000AF" w:usb1="4000204A" w:usb2="00000000" w:usb3="00000000" w:csb0="00000001" w:csb1="00000000"/>
  </w:font>
  <w:font w:name="Minion Pro">
    <w:panose1 w:val="02040503050306020203"/>
    <w:charset w:val="00"/>
    <w:family w:val="auto"/>
    <w:pitch w:val="variable"/>
    <w:sig w:usb0="00000003" w:usb1="00000000" w:usb2="00000000" w:usb3="00000000" w:csb0="00000001" w:csb1="00000000"/>
  </w:font>
  <w:font w:name="ITC Franklin Gothic Std MedCd">
    <w:altName w:val="Cambria"/>
    <w:panose1 w:val="00000000000000000000"/>
    <w:charset w:val="00"/>
    <w:family w:val="swiss"/>
    <w:notTrueType/>
    <w:pitch w:val="variable"/>
    <w:sig w:usb0="800000AF" w:usb1="4000204A" w:usb2="00000000" w:usb3="00000000" w:csb0="00000001" w:csb1="00000000"/>
  </w:font>
  <w:font w:name="ITC Franklin Gothic Std Book">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0E" w:rsidRPr="008F5A9F" w:rsidRDefault="00C6300E" w:rsidP="007B55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0E" w:rsidRPr="007B557F" w:rsidRDefault="00C6300E" w:rsidP="00D20588">
    <w:pPr>
      <w:pStyle w:val="Footer"/>
      <w:spacing w:before="240"/>
    </w:pPr>
    <w:r w:rsidRPr="0060363E">
      <w:rPr>
        <w:rFonts w:cstheme="minorHAnsi"/>
      </w:rPr>
      <w:ptab w:relativeTo="margin" w:alignment="left" w:leader="none"/>
    </w:r>
    <w:r w:rsidR="007B557F">
      <w:rPr>
        <w:b/>
        <w:bCs/>
      </w:rPr>
      <w:t xml:space="preserve">Learning to Teach </w:t>
    </w:r>
    <w:proofErr w:type="gramStart"/>
    <w:r w:rsidR="007B557F">
      <w:rPr>
        <w:b/>
        <w:bCs/>
      </w:rPr>
      <w:t>Framework</w:t>
    </w:r>
    <w:r w:rsidR="007B557F">
      <w:t xml:space="preserve">  </w:t>
    </w:r>
    <w:proofErr w:type="gramEnd"/>
    <w:r w:rsidR="007B557F">
      <w:rPr>
        <w:position w:val="2"/>
      </w:rPr>
      <w:t>|</w:t>
    </w:r>
    <w:r w:rsidR="007B557F">
      <w:t xml:space="preserve">  Practice-Based Preparation in Teacher Education </w:t>
    </w:r>
    <w:r w:rsidR="007B557F" w:rsidRPr="00313350">
      <w:rPr>
        <w:rFonts w:cstheme="minorHAnsi"/>
        <w:color w:val="003462" w:themeColor="text2"/>
      </w:rPr>
      <w:t xml:space="preserve"> </w:t>
    </w:r>
    <w:r w:rsidR="00313350">
      <w:rPr>
        <w:rFonts w:cstheme="minorHAnsi"/>
        <w:color w:val="003462" w:themeColor="text2"/>
      </w:rPr>
      <w:t xml:space="preserve">|  </w:t>
    </w:r>
    <w:r w:rsidRPr="00313350">
      <w:rPr>
        <w:rFonts w:cstheme="minorHAnsi"/>
        <w:b/>
        <w:color w:val="003462" w:themeColor="text2"/>
        <w:sz w:val="22"/>
        <w:szCs w:val="22"/>
      </w:rPr>
      <w:fldChar w:fldCharType="begin"/>
    </w:r>
    <w:r w:rsidRPr="00313350">
      <w:rPr>
        <w:rFonts w:cstheme="minorHAnsi"/>
        <w:b/>
        <w:color w:val="003462" w:themeColor="text2"/>
        <w:sz w:val="22"/>
        <w:szCs w:val="22"/>
      </w:rPr>
      <w:instrText xml:space="preserve"> PAGE </w:instrText>
    </w:r>
    <w:r w:rsidRPr="00313350">
      <w:rPr>
        <w:rFonts w:cstheme="minorHAnsi"/>
        <w:b/>
        <w:color w:val="003462" w:themeColor="text2"/>
        <w:sz w:val="22"/>
        <w:szCs w:val="22"/>
      </w:rPr>
      <w:fldChar w:fldCharType="separate"/>
    </w:r>
    <w:r w:rsidR="000D111B">
      <w:rPr>
        <w:rFonts w:cstheme="minorHAnsi"/>
        <w:b/>
        <w:noProof/>
        <w:color w:val="003462" w:themeColor="text2"/>
        <w:sz w:val="22"/>
        <w:szCs w:val="22"/>
      </w:rPr>
      <w:t>1</w:t>
    </w:r>
    <w:r w:rsidRPr="00313350">
      <w:rPr>
        <w:rFonts w:cstheme="minorHAnsi"/>
        <w:b/>
        <w:color w:val="003462" w:themeColor="text2"/>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0E" w:rsidRPr="008F5A9F" w:rsidRDefault="00C6300E" w:rsidP="007B557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8D" w:rsidRPr="007B557F" w:rsidRDefault="00C7738D" w:rsidP="00D20588">
    <w:pPr>
      <w:pStyle w:val="Footer"/>
      <w:spacing w:before="240"/>
    </w:pPr>
    <w:r w:rsidRPr="0060363E">
      <w:rPr>
        <w:rFonts w:cstheme="minorHAnsi"/>
      </w:rPr>
      <w:ptab w:relativeTo="margin" w:alignment="lef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A2" w:rsidRDefault="00B66FA2" w:rsidP="00F712CC">
      <w:r>
        <w:separator/>
      </w:r>
    </w:p>
  </w:footnote>
  <w:footnote w:type="continuationSeparator" w:id="0">
    <w:p w:rsidR="00B66FA2" w:rsidRDefault="00B66FA2" w:rsidP="00F712CC">
      <w:r>
        <w:continuationSeparator/>
      </w:r>
    </w:p>
  </w:footnote>
  <w:footnote w:type="continuationNotice" w:id="1">
    <w:p w:rsidR="00B66FA2" w:rsidRDefault="00B66FA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88" w:rsidRDefault="00D20588">
    <w:pPr>
      <w:pStyle w:val="Header"/>
    </w:pPr>
    <w:r>
      <w:rPr>
        <w:noProof/>
      </w:rPr>
      <mc:AlternateContent>
        <mc:Choice Requires="wps">
          <w:drawing>
            <wp:anchor distT="0" distB="0" distL="114300" distR="114300" simplePos="0" relativeHeight="251661312" behindDoc="0" locked="0" layoutInCell="1" allowOverlap="1" wp14:anchorId="30986554" wp14:editId="6174155D">
              <wp:simplePos x="0" y="0"/>
              <wp:positionH relativeFrom="column">
                <wp:posOffset>-457200</wp:posOffset>
              </wp:positionH>
              <wp:positionV relativeFrom="paragraph">
                <wp:posOffset>27305</wp:posOffset>
              </wp:positionV>
              <wp:extent cx="228600" cy="6858000"/>
              <wp:effectExtent l="0" t="0" r="0" b="0"/>
              <wp:wrapNone/>
              <wp:docPr id="16" name="Rectangle 16"/>
              <wp:cNvGraphicFramePr/>
              <a:graphic xmlns:a="http://schemas.openxmlformats.org/drawingml/2006/main">
                <a:graphicData uri="http://schemas.microsoft.com/office/word/2010/wordprocessingShape">
                  <wps:wsp>
                    <wps:cNvSpPr/>
                    <wps:spPr>
                      <a:xfrm>
                        <a:off x="0" y="0"/>
                        <a:ext cx="228600" cy="6858000"/>
                      </a:xfrm>
                      <a:prstGeom prst="rect">
                        <a:avLst/>
                      </a:prstGeom>
                      <a:gradFill>
                        <a:gsLst>
                          <a:gs pos="0">
                            <a:srgbClr val="4B76A0">
                              <a:lumMod val="20000"/>
                              <a:lumOff val="80000"/>
                            </a:srgbClr>
                          </a:gs>
                          <a:gs pos="38000">
                            <a:srgbClr val="4B76A0"/>
                          </a:gs>
                          <a:gs pos="81000">
                            <a:srgbClr val="003462"/>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EDE410" id="Rectangle 16" o:spid="_x0000_s1026" style="position:absolute;margin-left:-36pt;margin-top:2.15pt;width:18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" fillcolor="#dae4ed" stroked="f" strokeweight="2pt">
              <v:fill color2="#003462" colors="0 #dae4ed;24904f #4b76a0;53084f #003462" focus="100%" type="gradient"/>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0E" w:rsidRDefault="00C630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0E" w:rsidRPr="00292380" w:rsidRDefault="007B557F" w:rsidP="00292380">
    <w:pPr>
      <w:pStyle w:val="Header"/>
      <w:rPr>
        <w:sz w:val="16"/>
        <w:szCs w:val="16"/>
      </w:rPr>
    </w:pPr>
    <w:r w:rsidRPr="00292380">
      <w:rPr>
        <w:noProof/>
        <w:sz w:val="16"/>
        <w:szCs w:val="16"/>
      </w:rPr>
      <mc:AlternateContent>
        <mc:Choice Requires="wps">
          <w:drawing>
            <wp:anchor distT="0" distB="0" distL="114300" distR="114300" simplePos="0" relativeHeight="251659264" behindDoc="0" locked="0" layoutInCell="1" allowOverlap="1" wp14:anchorId="04FBAEC1" wp14:editId="466BD79D">
              <wp:simplePos x="0" y="0"/>
              <wp:positionH relativeFrom="column">
                <wp:posOffset>-457200</wp:posOffset>
              </wp:positionH>
              <wp:positionV relativeFrom="paragraph">
                <wp:posOffset>22860</wp:posOffset>
              </wp:positionV>
              <wp:extent cx="228600" cy="6858000"/>
              <wp:effectExtent l="0" t="0" r="0" b="0"/>
              <wp:wrapNone/>
              <wp:docPr id="14" name="Rectangle 14"/>
              <wp:cNvGraphicFramePr/>
              <a:graphic xmlns:a="http://schemas.openxmlformats.org/drawingml/2006/main">
                <a:graphicData uri="http://schemas.microsoft.com/office/word/2010/wordprocessingShape">
                  <wps:wsp>
                    <wps:cNvSpPr/>
                    <wps:spPr>
                      <a:xfrm>
                        <a:off x="0" y="0"/>
                        <a:ext cx="228600" cy="6858000"/>
                      </a:xfrm>
                      <a:prstGeom prst="rect">
                        <a:avLst/>
                      </a:prstGeom>
                      <a:gradFill>
                        <a:gsLst>
                          <a:gs pos="0">
                            <a:schemeClr val="accent1">
                              <a:lumMod val="20000"/>
                              <a:lumOff val="80000"/>
                            </a:schemeClr>
                          </a:gs>
                          <a:gs pos="38000">
                            <a:schemeClr val="accent1"/>
                          </a:gs>
                          <a:gs pos="81000">
                            <a:schemeClr val="tx2"/>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37FFF5" id="Rectangle 14" o:spid="_x0000_s1026" style="position:absolute;margin-left:-36pt;margin-top:1.8pt;width:1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" fillcolor="#d9e3ed [660]" stroked="f" strokeweight="2pt">
              <v:fill color2="#003462 [3215]" colors="0 #dae4ed;24904f #4b76a0;53084f #003462" focus="100%" type="gradient"/>
            </v:rect>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0E" w:rsidRDefault="00C6300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8D" w:rsidRPr="00292380" w:rsidRDefault="00C7738D" w:rsidP="0029238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4CEDBE"/>
    <w:lvl w:ilvl="0">
      <w:start w:val="1"/>
      <w:numFmt w:val="decimal"/>
      <w:lvlText w:val="%1."/>
      <w:lvlJc w:val="left"/>
      <w:pPr>
        <w:tabs>
          <w:tab w:val="num" w:pos="1800"/>
        </w:tabs>
        <w:ind w:left="1800" w:hanging="360"/>
      </w:pPr>
    </w:lvl>
  </w:abstractNum>
  <w:abstractNum w:abstractNumId="1">
    <w:nsid w:val="FFFFFF7D"/>
    <w:multiLevelType w:val="singleLevel"/>
    <w:tmpl w:val="D504BC56"/>
    <w:lvl w:ilvl="0">
      <w:start w:val="1"/>
      <w:numFmt w:val="decimal"/>
      <w:lvlText w:val="%1."/>
      <w:lvlJc w:val="left"/>
      <w:pPr>
        <w:tabs>
          <w:tab w:val="num" w:pos="1440"/>
        </w:tabs>
        <w:ind w:left="1440" w:hanging="360"/>
      </w:pPr>
    </w:lvl>
  </w:abstractNum>
  <w:abstractNum w:abstractNumId="2">
    <w:nsid w:val="FFFFFF7E"/>
    <w:multiLevelType w:val="singleLevel"/>
    <w:tmpl w:val="7E9A550A"/>
    <w:lvl w:ilvl="0">
      <w:start w:val="1"/>
      <w:numFmt w:val="decimal"/>
      <w:lvlText w:val="%1."/>
      <w:lvlJc w:val="left"/>
      <w:pPr>
        <w:tabs>
          <w:tab w:val="num" w:pos="1080"/>
        </w:tabs>
        <w:ind w:left="1080" w:hanging="360"/>
      </w:pPr>
    </w:lvl>
  </w:abstractNum>
  <w:abstractNum w:abstractNumId="3">
    <w:nsid w:val="FFFFFF7F"/>
    <w:multiLevelType w:val="singleLevel"/>
    <w:tmpl w:val="FFA4C426"/>
    <w:lvl w:ilvl="0">
      <w:start w:val="1"/>
      <w:numFmt w:val="decimal"/>
      <w:lvlText w:val="%1."/>
      <w:lvlJc w:val="left"/>
      <w:pPr>
        <w:tabs>
          <w:tab w:val="num" w:pos="720"/>
        </w:tabs>
        <w:ind w:left="720" w:hanging="360"/>
      </w:pPr>
    </w:lvl>
  </w:abstractNum>
  <w:abstractNum w:abstractNumId="4">
    <w:nsid w:val="FFFFFF80"/>
    <w:multiLevelType w:val="singleLevel"/>
    <w:tmpl w:val="8592D9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0652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3EE5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BE02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9A91EE"/>
    <w:lvl w:ilvl="0">
      <w:start w:val="1"/>
      <w:numFmt w:val="decimal"/>
      <w:lvlText w:val="%1."/>
      <w:lvlJc w:val="left"/>
      <w:pPr>
        <w:tabs>
          <w:tab w:val="num" w:pos="360"/>
        </w:tabs>
        <w:ind w:left="360" w:hanging="360"/>
      </w:pPr>
    </w:lvl>
  </w:abstractNum>
  <w:abstractNum w:abstractNumId="9">
    <w:nsid w:val="FFFFFF89"/>
    <w:multiLevelType w:val="singleLevel"/>
    <w:tmpl w:val="80ACB746"/>
    <w:lvl w:ilvl="0">
      <w:start w:val="1"/>
      <w:numFmt w:val="bullet"/>
      <w:lvlText w:val=""/>
      <w:lvlJc w:val="left"/>
      <w:pPr>
        <w:tabs>
          <w:tab w:val="num" w:pos="360"/>
        </w:tabs>
        <w:ind w:left="360" w:hanging="360"/>
      </w:pPr>
      <w:rPr>
        <w:rFonts w:ascii="Symbol" w:hAnsi="Symbol" w:hint="default"/>
      </w:rPr>
    </w:lvl>
  </w:abstractNum>
  <w:abstractNum w:abstractNumId="1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1">
    <w:nsid w:val="2CC825CA"/>
    <w:multiLevelType w:val="hybridMultilevel"/>
    <w:tmpl w:val="11EE20E8"/>
    <w:lvl w:ilvl="0" w:tplc="B20C0D96">
      <w:start w:val="1"/>
      <w:numFmt w:val="bullet"/>
      <w:pStyle w:val="Bullet1"/>
      <w:lvlText w:val="■"/>
      <w:lvlJc w:val="left"/>
      <w:pPr>
        <w:ind w:left="630" w:hanging="360"/>
      </w:pPr>
      <w:rPr>
        <w:rFonts w:ascii="Arial" w:hAnsi="Arial" w:hint="default"/>
        <w:color w:val="003462" w:themeColor="text2"/>
        <w:position w:val="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D4A3C76"/>
    <w:multiLevelType w:val="hybridMultilevel"/>
    <w:tmpl w:val="7CC2B6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nsid w:val="365E6074"/>
    <w:multiLevelType w:val="hybridMultilevel"/>
    <w:tmpl w:val="DCE4928C"/>
    <w:lvl w:ilvl="0" w:tplc="90C8AE7C">
      <w:start w:val="1"/>
      <w:numFmt w:val="bullet"/>
      <w:lvlText w:val="■"/>
      <w:lvlJc w:val="left"/>
      <w:pPr>
        <w:ind w:left="900" w:hanging="360"/>
      </w:pPr>
      <w:rPr>
        <w:rFonts w:ascii="Arial" w:hAnsi="Arial" w:hint="default"/>
        <w:color w:val="003462" w:themeColor="text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7ED4111"/>
    <w:multiLevelType w:val="hybridMultilevel"/>
    <w:tmpl w:val="D2C2FF8A"/>
    <w:lvl w:ilvl="0" w:tplc="D8386F38">
      <w:start w:val="1"/>
      <w:numFmt w:val="bullet"/>
      <w:pStyle w:val="CalloutBulletsCallouts"/>
      <w:lvlText w:val="■"/>
      <w:lvlJc w:val="left"/>
      <w:pPr>
        <w:ind w:left="720" w:hanging="360"/>
      </w:pPr>
      <w:rPr>
        <w:rFonts w:ascii="Arial Narrow" w:hAnsi="Arial Narrow" w:hint="default"/>
        <w:b w:val="0"/>
        <w:i w:val="0"/>
        <w:color w:val="773C75" w:themeColor="accent4"/>
        <w:position w:val="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F1524"/>
    <w:multiLevelType w:val="multilevel"/>
    <w:tmpl w:val="F90259FE"/>
    <w:styleLink w:val="AIRBullet"/>
    <w:lvl w:ilvl="0">
      <w:start w:val="1"/>
      <w:numFmt w:val="bullet"/>
      <w:lvlText w:val="•"/>
      <w:lvlJc w:val="left"/>
      <w:pPr>
        <w:ind w:left="720" w:hanging="360"/>
      </w:pPr>
      <w:rPr>
        <w:rFonts w:ascii="Times New Roman" w:hAnsi="Times New Roman" w:cs="Times New Roman" w:hint="default"/>
        <w:b w:val="0"/>
        <w:i w:val="0"/>
        <w:color w:val="000000"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7">
    <w:nsid w:val="5EE07498"/>
    <w:multiLevelType w:val="multilevel"/>
    <w:tmpl w:val="F134F144"/>
    <w:styleLink w:val="AIRTableBullet"/>
    <w:lvl w:ilvl="0">
      <w:start w:val="1"/>
      <w:numFmt w:val="bullet"/>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F2A2BBB"/>
    <w:multiLevelType w:val="multilevel"/>
    <w:tmpl w:val="F134F144"/>
    <w:numStyleLink w:val="AIRTableBullet"/>
  </w:abstractNum>
  <w:abstractNum w:abstractNumId="19">
    <w:nsid w:val="643A6084"/>
    <w:multiLevelType w:val="singleLevel"/>
    <w:tmpl w:val="7004E37E"/>
    <w:lvl w:ilvl="0">
      <w:start w:val="1"/>
      <w:numFmt w:val="bullet"/>
      <w:pStyle w:val="Bullet3"/>
      <w:lvlText w:val="■"/>
      <w:lvlJc w:val="left"/>
      <w:pPr>
        <w:ind w:left="540" w:hanging="360"/>
      </w:pPr>
      <w:rPr>
        <w:rFonts w:ascii="Arial" w:hAnsi="Arial" w:hint="default"/>
        <w:b w:val="0"/>
        <w:i w:val="0"/>
        <w:color w:val="003462" w:themeColor="text2"/>
        <w:position w:val="2"/>
        <w:sz w:val="18"/>
      </w:rPr>
    </w:lvl>
  </w:abstractNum>
  <w:abstractNum w:abstractNumId="20">
    <w:nsid w:val="7CD968B0"/>
    <w:multiLevelType w:val="hybridMultilevel"/>
    <w:tmpl w:val="EC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13"/>
  </w:num>
  <w:num w:numId="5">
    <w:abstractNumId w:val="19"/>
  </w:num>
  <w:num w:numId="6">
    <w:abstractNumId w:val="19"/>
  </w:num>
  <w:num w:numId="7">
    <w:abstractNumId w:val="19"/>
  </w:num>
  <w:num w:numId="8">
    <w:abstractNumId w:val="10"/>
  </w:num>
  <w:num w:numId="9">
    <w:abstractNumId w:val="18"/>
  </w:num>
  <w:num w:numId="10">
    <w:abstractNumId w:val="18"/>
  </w:num>
  <w:num w:numId="11">
    <w:abstractNumId w:val="13"/>
  </w:num>
  <w:num w:numId="12">
    <w:abstractNumId w:val="19"/>
  </w:num>
  <w:num w:numId="13">
    <w:abstractNumId w:val="19"/>
  </w:num>
  <w:num w:numId="14">
    <w:abstractNumId w:val="19"/>
  </w:num>
  <w:num w:numId="15">
    <w:abstractNumId w:val="10"/>
  </w:num>
  <w:num w:numId="16">
    <w:abstractNumId w:val="18"/>
  </w:num>
  <w:num w:numId="17">
    <w:abstractNumId w:val="18"/>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15"/>
  </w:num>
  <w:num w:numId="31">
    <w:abstractNumId w:val="12"/>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2D"/>
    <w:rsid w:val="00027B8D"/>
    <w:rsid w:val="00053818"/>
    <w:rsid w:val="00060AF7"/>
    <w:rsid w:val="000611F0"/>
    <w:rsid w:val="00091D7B"/>
    <w:rsid w:val="000C517F"/>
    <w:rsid w:val="000D111B"/>
    <w:rsid w:val="000D4287"/>
    <w:rsid w:val="00116546"/>
    <w:rsid w:val="00191C18"/>
    <w:rsid w:val="001A526F"/>
    <w:rsid w:val="001A7B4E"/>
    <w:rsid w:val="001B6030"/>
    <w:rsid w:val="001E723A"/>
    <w:rsid w:val="001F15AD"/>
    <w:rsid w:val="002024D0"/>
    <w:rsid w:val="00214D1D"/>
    <w:rsid w:val="00232F19"/>
    <w:rsid w:val="002516BD"/>
    <w:rsid w:val="002523B3"/>
    <w:rsid w:val="00255919"/>
    <w:rsid w:val="00292380"/>
    <w:rsid w:val="002A3021"/>
    <w:rsid w:val="002B72EA"/>
    <w:rsid w:val="00313350"/>
    <w:rsid w:val="00316234"/>
    <w:rsid w:val="0032382F"/>
    <w:rsid w:val="00326B45"/>
    <w:rsid w:val="003C5B57"/>
    <w:rsid w:val="003E31C9"/>
    <w:rsid w:val="00415C4D"/>
    <w:rsid w:val="0042367D"/>
    <w:rsid w:val="00472330"/>
    <w:rsid w:val="00494E11"/>
    <w:rsid w:val="004A39D6"/>
    <w:rsid w:val="004D3F7C"/>
    <w:rsid w:val="004F3D6F"/>
    <w:rsid w:val="004F66BC"/>
    <w:rsid w:val="00506F2D"/>
    <w:rsid w:val="005120C4"/>
    <w:rsid w:val="00525D7E"/>
    <w:rsid w:val="005861B8"/>
    <w:rsid w:val="0059339A"/>
    <w:rsid w:val="005A3FAD"/>
    <w:rsid w:val="005B20F1"/>
    <w:rsid w:val="005B6925"/>
    <w:rsid w:val="005D59BF"/>
    <w:rsid w:val="005F1C28"/>
    <w:rsid w:val="00627BA3"/>
    <w:rsid w:val="00644127"/>
    <w:rsid w:val="00650265"/>
    <w:rsid w:val="00670AEC"/>
    <w:rsid w:val="00691C47"/>
    <w:rsid w:val="006D1EB1"/>
    <w:rsid w:val="006F4177"/>
    <w:rsid w:val="00701182"/>
    <w:rsid w:val="00727E61"/>
    <w:rsid w:val="0075516C"/>
    <w:rsid w:val="00763623"/>
    <w:rsid w:val="00770A09"/>
    <w:rsid w:val="00787A89"/>
    <w:rsid w:val="00791999"/>
    <w:rsid w:val="00792F42"/>
    <w:rsid w:val="007A33AE"/>
    <w:rsid w:val="007B22EC"/>
    <w:rsid w:val="007B557F"/>
    <w:rsid w:val="007D1207"/>
    <w:rsid w:val="007E4146"/>
    <w:rsid w:val="007F138D"/>
    <w:rsid w:val="00802BF3"/>
    <w:rsid w:val="00811F47"/>
    <w:rsid w:val="0082526B"/>
    <w:rsid w:val="00856128"/>
    <w:rsid w:val="00861F40"/>
    <w:rsid w:val="00894E00"/>
    <w:rsid w:val="008D430D"/>
    <w:rsid w:val="008F5A9F"/>
    <w:rsid w:val="009272FD"/>
    <w:rsid w:val="00967EDB"/>
    <w:rsid w:val="009A28A9"/>
    <w:rsid w:val="00A1370B"/>
    <w:rsid w:val="00A20028"/>
    <w:rsid w:val="00A22ADF"/>
    <w:rsid w:val="00A31028"/>
    <w:rsid w:val="00A32DD1"/>
    <w:rsid w:val="00A71F51"/>
    <w:rsid w:val="00A738D7"/>
    <w:rsid w:val="00AB441A"/>
    <w:rsid w:val="00AF565E"/>
    <w:rsid w:val="00B01754"/>
    <w:rsid w:val="00B02017"/>
    <w:rsid w:val="00B10354"/>
    <w:rsid w:val="00B23F7F"/>
    <w:rsid w:val="00B66FA2"/>
    <w:rsid w:val="00B70E4F"/>
    <w:rsid w:val="00B759EF"/>
    <w:rsid w:val="00BF1FA8"/>
    <w:rsid w:val="00C61005"/>
    <w:rsid w:val="00C6300E"/>
    <w:rsid w:val="00C67990"/>
    <w:rsid w:val="00C7738D"/>
    <w:rsid w:val="00C979EE"/>
    <w:rsid w:val="00CA4450"/>
    <w:rsid w:val="00CA5156"/>
    <w:rsid w:val="00D00816"/>
    <w:rsid w:val="00D07734"/>
    <w:rsid w:val="00D15A9E"/>
    <w:rsid w:val="00D20588"/>
    <w:rsid w:val="00D40E3F"/>
    <w:rsid w:val="00D43B17"/>
    <w:rsid w:val="00DB6494"/>
    <w:rsid w:val="00DC7F8E"/>
    <w:rsid w:val="00DD13E6"/>
    <w:rsid w:val="00DD64A0"/>
    <w:rsid w:val="00DF33AB"/>
    <w:rsid w:val="00DF3451"/>
    <w:rsid w:val="00DF5097"/>
    <w:rsid w:val="00E92993"/>
    <w:rsid w:val="00ED31D1"/>
    <w:rsid w:val="00ED76E3"/>
    <w:rsid w:val="00EE7548"/>
    <w:rsid w:val="00F00248"/>
    <w:rsid w:val="00F1471D"/>
    <w:rsid w:val="00F16E82"/>
    <w:rsid w:val="00F54C5E"/>
    <w:rsid w:val="00F712CC"/>
    <w:rsid w:val="00FA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967EDB"/>
    <w:pPr>
      <w:spacing w:after="0" w:line="240" w:lineRule="auto"/>
    </w:pPr>
    <w:rPr>
      <w:rFonts w:eastAsia="Times New Roman"/>
      <w:sz w:val="24"/>
      <w:szCs w:val="24"/>
    </w:rPr>
  </w:style>
  <w:style w:type="paragraph" w:styleId="Heading1">
    <w:name w:val="heading 1"/>
    <w:next w:val="BodyText"/>
    <w:link w:val="Heading1Char"/>
    <w:uiPriority w:val="9"/>
    <w:qFormat/>
    <w:rsid w:val="00691C47"/>
    <w:pPr>
      <w:spacing w:before="2160" w:after="120" w:line="240" w:lineRule="auto"/>
      <w:ind w:left="2160"/>
      <w:outlineLvl w:val="0"/>
    </w:pPr>
    <w:rPr>
      <w:rFonts w:asciiTheme="majorHAnsi" w:eastAsia="Perpetua" w:hAnsiTheme="majorHAnsi" w:cs="Times New Roman"/>
      <w:b/>
      <w:noProof/>
      <w:color w:val="773C75" w:themeColor="accent4"/>
      <w:sz w:val="60"/>
      <w:szCs w:val="60"/>
    </w:rPr>
  </w:style>
  <w:style w:type="paragraph" w:styleId="Heading2">
    <w:name w:val="heading 2"/>
    <w:basedOn w:val="Heading1"/>
    <w:next w:val="BodyText"/>
    <w:link w:val="Heading2Char"/>
    <w:uiPriority w:val="9"/>
    <w:qFormat/>
    <w:rsid w:val="007F138D"/>
    <w:pPr>
      <w:spacing w:before="360" w:after="0"/>
      <w:ind w:left="0"/>
      <w:outlineLvl w:val="1"/>
    </w:pPr>
    <w:rPr>
      <w:rFonts w:asciiTheme="minorHAnsi" w:hAnsiTheme="minorHAnsi" w:cstheme="minorHAnsi"/>
      <w:b w:val="0"/>
      <w:sz w:val="34"/>
      <w:szCs w:val="36"/>
    </w:rPr>
  </w:style>
  <w:style w:type="paragraph" w:styleId="Heading3">
    <w:name w:val="heading 3"/>
    <w:basedOn w:val="Subhead-Step"/>
    <w:next w:val="BodyText"/>
    <w:link w:val="Heading3Char"/>
    <w:uiPriority w:val="9"/>
    <w:qFormat/>
    <w:rsid w:val="007F138D"/>
    <w:pPr>
      <w:ind w:left="0"/>
      <w:outlineLvl w:val="2"/>
    </w:pPr>
    <w:rPr>
      <w:color w:val="773C75" w:themeColor="accent4"/>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Ind w:w="0" w:type="dxa"/>
      <w:tblBorders>
        <w:top w:val="single" w:sz="12" w:space="0" w:color="D4D4D4" w:themeColor="background2"/>
      </w:tblBorders>
      <w:tblCellMar>
        <w:top w:w="0" w:type="dxa"/>
        <w:left w:w="108" w:type="dxa"/>
        <w:bottom w:w="0" w:type="dxa"/>
        <w:right w:w="108" w:type="dxa"/>
      </w:tblCellMar>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99"/>
    <w:qFormat/>
    <w:rsid w:val="00EE7548"/>
    <w:pPr>
      <w:keepLines/>
      <w:numPr>
        <w:numId w:val="33"/>
      </w:numPr>
      <w:spacing w:before="120"/>
      <w:ind w:left="540" w:hanging="270"/>
    </w:pPr>
  </w:style>
  <w:style w:type="paragraph" w:styleId="BodyText">
    <w:name w:val="Body Text"/>
    <w:basedOn w:val="Paragraph"/>
    <w:link w:val="BodyTextChar"/>
    <w:qFormat/>
    <w:rsid w:val="007F138D"/>
  </w:style>
  <w:style w:type="character" w:customStyle="1" w:styleId="BodyTextChar">
    <w:name w:val="Body Text Char"/>
    <w:basedOn w:val="DefaultParagraphFont"/>
    <w:link w:val="BodyText"/>
    <w:rsid w:val="007F138D"/>
    <w:rPr>
      <w:rFonts w:ascii="Arial" w:hAnsi="Arial" w:cs="Arial"/>
      <w:color w:val="000000"/>
      <w:sz w:val="18"/>
      <w:szCs w:val="18"/>
    </w:rPr>
  </w:style>
  <w:style w:type="paragraph" w:customStyle="1" w:styleId="Bullet2">
    <w:name w:val="Bullet 2"/>
    <w:basedOn w:val="BodyText"/>
    <w:uiPriority w:val="4"/>
    <w:qFormat/>
    <w:rsid w:val="00494E11"/>
    <w:pPr>
      <w:keepLines/>
      <w:numPr>
        <w:ilvl w:val="1"/>
        <w:numId w:val="14"/>
      </w:numPr>
      <w:spacing w:before="120"/>
    </w:pPr>
  </w:style>
  <w:style w:type="paragraph" w:customStyle="1" w:styleId="Bullet3">
    <w:name w:val="Bullet 3"/>
    <w:basedOn w:val="BodyText"/>
    <w:uiPriority w:val="4"/>
    <w:qFormat/>
    <w:rsid w:val="00494E11"/>
    <w:pPr>
      <w:keepLines/>
      <w:numPr>
        <w:ilvl w:val="2"/>
        <w:numId w:val="14"/>
      </w:numPr>
      <w:spacing w:before="120"/>
      <w:contextualSpacing/>
    </w:pPr>
  </w:style>
  <w:style w:type="paragraph" w:customStyle="1" w:styleId="NumberedList">
    <w:name w:val="Numbered List"/>
    <w:basedOn w:val="BodyText"/>
    <w:uiPriority w:val="4"/>
    <w:qFormat/>
    <w:rsid w:val="00494E11"/>
    <w:pPr>
      <w:keepLines/>
      <w:numPr>
        <w:numId w:val="15"/>
      </w:numPr>
      <w:spacing w:before="120"/>
    </w:pPr>
  </w:style>
  <w:style w:type="paragraph" w:customStyle="1" w:styleId="TableBullet1">
    <w:name w:val="Table Bullet 1"/>
    <w:basedOn w:val="Bullet1"/>
    <w:uiPriority w:val="16"/>
    <w:qFormat/>
    <w:rsid w:val="00316234"/>
    <w:pPr>
      <w:spacing w:before="40" w:after="40" w:line="240" w:lineRule="atLeast"/>
      <w:ind w:left="274" w:hanging="274"/>
    </w:pPr>
  </w:style>
  <w:style w:type="paragraph" w:customStyle="1" w:styleId="TableBullet2">
    <w:name w:val="Table Bullet 2"/>
    <w:basedOn w:val="Normal"/>
    <w:uiPriority w:val="16"/>
    <w:qFormat/>
    <w:rsid w:val="00DB6494"/>
    <w:pPr>
      <w:numPr>
        <w:ilvl w:val="1"/>
        <w:numId w:val="17"/>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DB6494"/>
    <w:pPr>
      <w:numPr>
        <w:numId w:val="1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B02017"/>
    <w:pPr>
      <w:spacing w:before="480" w:after="0" w:line="240" w:lineRule="auto"/>
      <w:ind w:left="2434"/>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B02017"/>
    <w:rPr>
      <w:rFonts w:ascii="Arial" w:eastAsia="Perpetua" w:hAnsi="Arial" w:cs="Times New Roman"/>
      <w:b/>
      <w:color w:val="595959"/>
      <w:sz w:val="28"/>
      <w:szCs w:val="28"/>
    </w:rPr>
  </w:style>
  <w:style w:type="paragraph" w:customStyle="1" w:styleId="CoverFrontDate">
    <w:name w:val="Cover Front Date"/>
    <w:basedOn w:val="CoverFrontAuthorName"/>
    <w:uiPriority w:val="99"/>
    <w:rsid w:val="000611F0"/>
    <w:pPr>
      <w:spacing w:before="960"/>
      <w:ind w:left="2160"/>
    </w:pPr>
    <w:rPr>
      <w:rFonts w:asciiTheme="majorHAnsi" w:hAnsiTheme="majorHAnsi"/>
      <w:b w:val="0"/>
      <w:noProof/>
      <w:color w:val="003462" w:themeColor="text2"/>
      <w:sz w:val="32"/>
      <w:szCs w:val="3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ED31D1"/>
    <w:pPr>
      <w:keepLines/>
    </w:pPr>
    <w:rPr>
      <w:rFonts w:asciiTheme="minorHAnsi" w:eastAsiaTheme="minorEastAsia" w:hAnsiTheme="minorHAnsi" w:cstheme="minorHAnsi"/>
    </w:rPr>
  </w:style>
  <w:style w:type="paragraph" w:styleId="Footer">
    <w:name w:val="footer"/>
    <w:basedOn w:val="BasicParagraph"/>
    <w:link w:val="FooterChar"/>
    <w:uiPriority w:val="99"/>
    <w:unhideWhenUsed/>
    <w:qFormat/>
    <w:rsid w:val="007B557F"/>
    <w:pPr>
      <w:tabs>
        <w:tab w:val="center" w:pos="1880"/>
        <w:tab w:val="left" w:pos="2520"/>
      </w:tabs>
      <w:jc w:val="right"/>
    </w:pPr>
    <w:rPr>
      <w:rFonts w:ascii="Arial" w:hAnsi="Arial" w:cs="Arial"/>
      <w:color w:val="662E6B"/>
      <w:sz w:val="18"/>
      <w:szCs w:val="18"/>
    </w:rPr>
  </w:style>
  <w:style w:type="character" w:customStyle="1" w:styleId="FooterChar">
    <w:name w:val="Footer Char"/>
    <w:basedOn w:val="DefaultParagraphFont"/>
    <w:link w:val="Footer"/>
    <w:uiPriority w:val="99"/>
    <w:rsid w:val="007B557F"/>
    <w:rPr>
      <w:rFonts w:ascii="Arial" w:hAnsi="Arial" w:cs="Arial"/>
      <w:color w:val="662E6B"/>
      <w:sz w:val="18"/>
      <w:szCs w:val="18"/>
    </w:rPr>
  </w:style>
  <w:style w:type="character" w:styleId="FootnoteReference">
    <w:name w:val="footnote reference"/>
    <w:uiPriority w:val="99"/>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691C47"/>
    <w:rPr>
      <w:rFonts w:asciiTheme="majorHAnsi" w:eastAsia="Perpetua" w:hAnsiTheme="majorHAnsi" w:cs="Times New Roman"/>
      <w:b/>
      <w:noProof/>
      <w:color w:val="773C75" w:themeColor="accent4"/>
      <w:sz w:val="60"/>
      <w:szCs w:val="60"/>
    </w:rPr>
  </w:style>
  <w:style w:type="character" w:customStyle="1" w:styleId="Heading2Char">
    <w:name w:val="Heading 2 Char"/>
    <w:basedOn w:val="DefaultParagraphFont"/>
    <w:link w:val="Heading2"/>
    <w:uiPriority w:val="9"/>
    <w:rsid w:val="007F138D"/>
    <w:rPr>
      <w:rFonts w:eastAsia="Perpetua" w:cstheme="minorHAnsi"/>
      <w:noProof/>
      <w:color w:val="773C75" w:themeColor="accent4"/>
      <w:sz w:val="34"/>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7F138D"/>
    <w:rPr>
      <w:rFonts w:ascii="Arial Narrow" w:hAnsi="Arial Narrow" w:cs="Arial Narrow"/>
      <w:b/>
      <w:bCs/>
      <w:color w:val="773C75" w:themeColor="accent4"/>
      <w:sz w:val="24"/>
      <w:szCs w:val="24"/>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2523B3"/>
    <w:pPr>
      <w:spacing w:before="40" w:after="40"/>
    </w:pPr>
    <w:rPr>
      <w:rFonts w:asciiTheme="majorHAnsi" w:hAnsiTheme="majorHAnsi" w:cs="Times New Roman"/>
      <w:b/>
      <w:bCs/>
      <w:sz w:val="19"/>
      <w:szCs w:val="20"/>
    </w:rPr>
  </w:style>
  <w:style w:type="paragraph" w:customStyle="1" w:styleId="TableText">
    <w:name w:val="Table Text"/>
    <w:uiPriority w:val="15"/>
    <w:qFormat/>
    <w:rsid w:val="00DF5097"/>
    <w:pPr>
      <w:spacing w:before="40" w:after="40" w:line="240" w:lineRule="atLeast"/>
    </w:pPr>
    <w:rPr>
      <w:rFonts w:asciiTheme="majorHAnsi" w:hAnsiTheme="majorHAnsi" w:cs="Times New Roman"/>
      <w:sz w:val="18"/>
      <w:szCs w:val="18"/>
    </w:rPr>
  </w:style>
  <w:style w:type="paragraph" w:customStyle="1" w:styleId="TableNote">
    <w:name w:val="Table Note"/>
    <w:aliases w:val="Figure Note,Exhibit Note"/>
    <w:basedOn w:val="TableText"/>
    <w:next w:val="BodyText"/>
    <w:uiPriority w:val="18"/>
    <w:qFormat/>
    <w:rsid w:val="00DB6494"/>
    <w:pPr>
      <w:spacing w:before="120" w:after="120"/>
      <w:contextualSpacing/>
    </w:p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770A09"/>
    <w:pPr>
      <w:tabs>
        <w:tab w:val="right" w:leader="dot" w:pos="12870"/>
      </w:tabs>
      <w:spacing w:before="180" w:after="100"/>
      <w:ind w:left="5076" w:hanging="756"/>
    </w:pPr>
    <w:rPr>
      <w:noProof/>
      <w:sz w:val="19"/>
      <w:szCs w:val="19"/>
    </w:rPr>
  </w:style>
  <w:style w:type="paragraph" w:customStyle="1" w:styleId="TableSubheading">
    <w:name w:val="Table Subheading"/>
    <w:basedOn w:val="Normal"/>
    <w:uiPriority w:val="15"/>
    <w:qFormat/>
    <w:rsid w:val="00ED76E3"/>
    <w:pPr>
      <w:suppressAutoHyphens/>
      <w:autoSpaceDE w:val="0"/>
      <w:autoSpaceDN w:val="0"/>
      <w:adjustRightInd w:val="0"/>
      <w:spacing w:before="180" w:after="90" w:line="240" w:lineRule="atLeast"/>
      <w:textAlignment w:val="center"/>
    </w:pPr>
    <w:rPr>
      <w:rFonts w:ascii="Arial Narrow" w:eastAsiaTheme="minorEastAsia" w:hAnsi="Arial Narrow" w:cs="Arial Narrow"/>
      <w:b/>
      <w:bCs/>
      <w:color w:val="003461"/>
      <w:sz w:val="28"/>
      <w:szCs w:val="28"/>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FigureTitle"/>
    <w:next w:val="BodyText"/>
    <w:uiPriority w:val="14"/>
    <w:qFormat/>
    <w:rsid w:val="00DF5097"/>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Normal"/>
    <w:uiPriority w:val="99"/>
    <w:rsid w:val="00AF565E"/>
    <w:pPr>
      <w:suppressAutoHyphens/>
      <w:autoSpaceDE w:val="0"/>
      <w:autoSpaceDN w:val="0"/>
      <w:adjustRightInd w:val="0"/>
      <w:spacing w:before="180" w:line="288" w:lineRule="auto"/>
      <w:ind w:left="4320"/>
      <w:textAlignment w:val="center"/>
    </w:pPr>
    <w:rPr>
      <w:rFonts w:ascii="Arial Narrow" w:eastAsiaTheme="minorEastAsia" w:hAnsi="Arial Narrow" w:cs="Arial Narrow"/>
      <w:b/>
      <w:bCs/>
      <w:color w:val="000000"/>
      <w:sz w:val="20"/>
      <w:szCs w:val="19"/>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AuthorHead"/>
    <w:uiPriority w:val="99"/>
    <w:rsid w:val="00AF565E"/>
    <w:pPr>
      <w:spacing w:before="0"/>
      <w:ind w:left="4320"/>
    </w:pPr>
    <w:rPr>
      <w:rFonts w:ascii="Arial Narrow" w:hAnsi="Arial Narrow" w:cs="Arial Narrow"/>
      <w:i/>
      <w:iCs/>
      <w:sz w:val="20"/>
      <w:szCs w:val="20"/>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C67990"/>
    <w:pPr>
      <w:tabs>
        <w:tab w:val="right" w:leader="dot" w:pos="12870"/>
      </w:tabs>
      <w:spacing w:before="180" w:after="100" w:line="240" w:lineRule="atLeast"/>
      <w:ind w:left="5400" w:right="1080" w:hanging="720"/>
    </w:pPr>
    <w:rPr>
      <w:noProof/>
      <w:sz w:val="19"/>
      <w:szCs w:val="19"/>
    </w:r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7F138D"/>
    <w:pPr>
      <w:spacing w:before="0" w:after="0"/>
      <w:ind w:left="4320"/>
    </w:pPr>
    <w:rPr>
      <w:rFonts w:asciiTheme="minorHAnsi" w:eastAsiaTheme="majorEastAsia" w:hAnsiTheme="minorHAnsi" w:cstheme="minorHAnsi"/>
      <w:b w:val="0"/>
      <w:color w:val="773C75" w:themeColor="accent4"/>
      <w:sz w:val="34"/>
      <w:szCs w:val="34"/>
    </w:rPr>
  </w:style>
  <w:style w:type="character" w:styleId="CommentReference">
    <w:name w:val="annotation reference"/>
    <w:basedOn w:val="DefaultParagraphFont"/>
    <w:uiPriority w:val="99"/>
    <w:semiHidden/>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326B45"/>
    <w:rPr>
      <w:color w:val="003462" w:themeColor="text2"/>
      <w:u w:val="single"/>
    </w:rPr>
  </w:style>
  <w:style w:type="table" w:styleId="TableGrid">
    <w:name w:val="Table Grid"/>
    <w:basedOn w:val="TableNormal"/>
    <w:uiPriority w:val="59"/>
    <w:rsid w:val="0076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basedOn w:val="CoverFrontAuthorName"/>
    <w:uiPriority w:val="1"/>
    <w:rsid w:val="00691C47"/>
    <w:pPr>
      <w:spacing w:before="120"/>
      <w:ind w:left="2160"/>
    </w:pPr>
    <w:rPr>
      <w:rFonts w:asciiTheme="majorHAnsi" w:hAnsiTheme="majorHAnsi"/>
      <w:b w:val="0"/>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customStyle="1" w:styleId="TitlePage-AuthorHead">
    <w:name w:val="Title Page - Author Head"/>
    <w:basedOn w:val="Normal"/>
    <w:uiPriority w:val="99"/>
    <w:rsid w:val="00CA4450"/>
    <w:pPr>
      <w:suppressAutoHyphens/>
      <w:autoSpaceDE w:val="0"/>
      <w:autoSpaceDN w:val="0"/>
      <w:adjustRightInd w:val="0"/>
      <w:spacing w:before="180" w:line="288" w:lineRule="auto"/>
      <w:textAlignment w:val="center"/>
    </w:pPr>
    <w:rPr>
      <w:rFonts w:ascii="ITC Franklin Gothic Std Bk Cd" w:eastAsiaTheme="minorEastAsia" w:hAnsi="ITC Franklin Gothic Std Bk Cd" w:cs="ITC Franklin Gothic Std Bk Cd"/>
      <w:color w:val="000000"/>
      <w:sz w:val="30"/>
      <w:szCs w:val="30"/>
    </w:rPr>
  </w:style>
  <w:style w:type="paragraph" w:customStyle="1" w:styleId="BasicParagraph">
    <w:name w:val="[Basic Paragraph]"/>
    <w:basedOn w:val="Normal"/>
    <w:uiPriority w:val="99"/>
    <w:rsid w:val="007B557F"/>
    <w:pPr>
      <w:autoSpaceDE w:val="0"/>
      <w:autoSpaceDN w:val="0"/>
      <w:adjustRightInd w:val="0"/>
      <w:spacing w:line="288" w:lineRule="auto"/>
      <w:textAlignment w:val="center"/>
    </w:pPr>
    <w:rPr>
      <w:rFonts w:ascii="Minion Pro" w:eastAsiaTheme="minorEastAsia" w:hAnsi="Minion Pro" w:cs="Minion Pro"/>
      <w:color w:val="000000"/>
    </w:rPr>
  </w:style>
  <w:style w:type="character" w:styleId="PageNumber">
    <w:name w:val="page number"/>
    <w:uiPriority w:val="99"/>
    <w:unhideWhenUsed/>
    <w:rsid w:val="00D20588"/>
    <w:rPr>
      <w:rFonts w:cstheme="minorHAnsi"/>
      <w:shd w:val="clear" w:color="auto" w:fill="773C75" w:themeFill="accent4"/>
    </w:rPr>
  </w:style>
  <w:style w:type="paragraph" w:customStyle="1" w:styleId="Paragraph">
    <w:name w:val="Paragraph"/>
    <w:basedOn w:val="Normal"/>
    <w:uiPriority w:val="99"/>
    <w:rsid w:val="00313350"/>
    <w:pPr>
      <w:suppressAutoHyphens/>
      <w:autoSpaceDE w:val="0"/>
      <w:autoSpaceDN w:val="0"/>
      <w:adjustRightInd w:val="0"/>
      <w:spacing w:before="180" w:line="290" w:lineRule="atLeast"/>
      <w:textAlignment w:val="center"/>
    </w:pPr>
    <w:rPr>
      <w:rFonts w:ascii="Arial" w:eastAsiaTheme="minorEastAsia" w:hAnsi="Arial" w:cs="Arial"/>
      <w:color w:val="000000"/>
      <w:sz w:val="18"/>
      <w:szCs w:val="18"/>
    </w:rPr>
  </w:style>
  <w:style w:type="paragraph" w:customStyle="1" w:styleId="Subhead-Step">
    <w:name w:val="Subhead - Step"/>
    <w:basedOn w:val="Paragraph"/>
    <w:uiPriority w:val="99"/>
    <w:rsid w:val="00313350"/>
    <w:pPr>
      <w:tabs>
        <w:tab w:val="left" w:pos="1120"/>
      </w:tabs>
      <w:spacing w:before="360" w:line="300" w:lineRule="atLeast"/>
      <w:ind w:left="200"/>
    </w:pPr>
    <w:rPr>
      <w:rFonts w:ascii="Arial Narrow" w:hAnsi="Arial Narrow" w:cs="Arial Narrow"/>
      <w:b/>
      <w:bCs/>
      <w:color w:val="2E0096"/>
      <w:sz w:val="24"/>
      <w:szCs w:val="24"/>
    </w:rPr>
  </w:style>
  <w:style w:type="paragraph" w:customStyle="1" w:styleId="Paragraph-StepIndented">
    <w:name w:val="Paragraph - Step Indented"/>
    <w:basedOn w:val="Paragraph"/>
    <w:uiPriority w:val="99"/>
    <w:rsid w:val="00313350"/>
    <w:pPr>
      <w:ind w:left="200"/>
    </w:pPr>
  </w:style>
  <w:style w:type="character" w:customStyle="1" w:styleId="BoldItal">
    <w:name w:val="Bold Ital"/>
    <w:uiPriority w:val="99"/>
    <w:rsid w:val="00313350"/>
    <w:rPr>
      <w:b/>
      <w:bCs/>
      <w:i/>
      <w:iCs/>
    </w:rPr>
  </w:style>
  <w:style w:type="character" w:customStyle="1" w:styleId="STEP">
    <w:name w:val="STEP"/>
    <w:uiPriority w:val="99"/>
    <w:rsid w:val="00313350"/>
    <w:rPr>
      <w:caps/>
      <w:color w:val="2E0096"/>
    </w:rPr>
  </w:style>
  <w:style w:type="character" w:customStyle="1" w:styleId="Bold">
    <w:name w:val="Bold"/>
    <w:uiPriority w:val="99"/>
    <w:rsid w:val="00313350"/>
    <w:rPr>
      <w:b/>
      <w:bCs/>
    </w:rPr>
  </w:style>
  <w:style w:type="character" w:customStyle="1" w:styleId="ital">
    <w:name w:val="ital"/>
    <w:uiPriority w:val="99"/>
    <w:rsid w:val="00313350"/>
    <w:rPr>
      <w:i/>
      <w:iCs/>
    </w:rPr>
  </w:style>
  <w:style w:type="character" w:styleId="FollowedHyperlink">
    <w:name w:val="FollowedHyperlink"/>
    <w:basedOn w:val="DefaultParagraphFont"/>
    <w:uiPriority w:val="99"/>
    <w:semiHidden/>
    <w:unhideWhenUsed/>
    <w:rsid w:val="00326B45"/>
    <w:rPr>
      <w:color w:val="800080" w:themeColor="followedHyperlink"/>
      <w:u w:val="single"/>
    </w:rPr>
  </w:style>
  <w:style w:type="paragraph" w:customStyle="1" w:styleId="CalloutTitleCallouts">
    <w:name w:val="Callout Title (Callouts)"/>
    <w:uiPriority w:val="99"/>
    <w:rsid w:val="00060AF7"/>
    <w:pPr>
      <w:suppressAutoHyphens/>
      <w:autoSpaceDE w:val="0"/>
      <w:autoSpaceDN w:val="0"/>
      <w:adjustRightInd w:val="0"/>
      <w:spacing w:before="90" w:after="0" w:line="300" w:lineRule="atLeast"/>
      <w:textAlignment w:val="center"/>
    </w:pPr>
    <w:rPr>
      <w:rFonts w:ascii="Arial Narrow" w:hAnsi="Arial Narrow" w:cs="Arial Narrow"/>
      <w:b/>
      <w:bCs/>
      <w:color w:val="662E6B"/>
      <w:sz w:val="26"/>
      <w:szCs w:val="26"/>
    </w:rPr>
  </w:style>
  <w:style w:type="paragraph" w:customStyle="1" w:styleId="CalloutBulletsCallouts">
    <w:name w:val="Callout Bullets (Callouts)"/>
    <w:uiPriority w:val="99"/>
    <w:rsid w:val="00060AF7"/>
    <w:pPr>
      <w:numPr>
        <w:numId w:val="30"/>
      </w:numPr>
      <w:suppressAutoHyphens/>
      <w:autoSpaceDE w:val="0"/>
      <w:autoSpaceDN w:val="0"/>
      <w:adjustRightInd w:val="0"/>
      <w:spacing w:before="90" w:after="90" w:line="240" w:lineRule="atLeast"/>
      <w:ind w:left="173" w:hanging="187"/>
      <w:textAlignment w:val="center"/>
    </w:pPr>
    <w:rPr>
      <w:rFonts w:ascii="Arial Narrow" w:hAnsi="Arial Narrow" w:cs="Arial Narrow"/>
      <w:color w:val="000000"/>
      <w:sz w:val="19"/>
      <w:szCs w:val="19"/>
    </w:rPr>
  </w:style>
  <w:style w:type="table" w:customStyle="1" w:styleId="GTLCallOutTable">
    <w:name w:val="GTL Call Out Table"/>
    <w:basedOn w:val="TableNormal"/>
    <w:uiPriority w:val="99"/>
    <w:rsid w:val="00B70E4F"/>
    <w:pPr>
      <w:spacing w:after="0" w:line="240" w:lineRule="auto"/>
    </w:pPr>
    <w:tblPr>
      <w:tblInd w:w="0" w:type="dxa"/>
      <w:tblBorders>
        <w:top w:val="single" w:sz="48" w:space="0" w:color="773C75" w:themeColor="accent4"/>
        <w:bottom w:val="single" w:sz="48" w:space="0" w:color="773C75" w:themeColor="accent4"/>
      </w:tblBorders>
      <w:tblCellMar>
        <w:top w:w="0" w:type="dxa"/>
        <w:left w:w="108" w:type="dxa"/>
        <w:bottom w:w="0" w:type="dxa"/>
        <w:right w:w="108" w:type="dxa"/>
      </w:tblCellMar>
    </w:tblPr>
    <w:tcPr>
      <w:shd w:val="clear" w:color="auto" w:fill="F2F2F2" w:themeFill="background1" w:themeFillShade="F2"/>
    </w:tcPr>
  </w:style>
  <w:style w:type="table" w:customStyle="1" w:styleId="GTLTable1">
    <w:name w:val="GTL Table 1"/>
    <w:basedOn w:val="TableNormal"/>
    <w:uiPriority w:val="99"/>
    <w:rsid w:val="002523B3"/>
    <w:pPr>
      <w:spacing w:after="0" w:line="240" w:lineRule="auto"/>
    </w:pPr>
    <w:rPr>
      <w:sz w:val="18"/>
    </w:rPr>
    <w:tblP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0" w:type="dxa"/>
        <w:left w:w="108" w:type="dxa"/>
        <w:bottom w:w="0" w:type="dxa"/>
        <w:right w:w="108" w:type="dxa"/>
      </w:tblCellMar>
    </w:tblPr>
    <w:tcPr>
      <w:shd w:val="clear" w:color="auto" w:fill="FFFFFF" w:themeFill="background1"/>
    </w:tcPr>
    <w:tblStylePr w:type="firstRow">
      <w:tblPr/>
      <w:tcPr>
        <w:shd w:val="clear" w:color="auto" w:fill="003462" w:themeFill="text2"/>
      </w:tcPr>
    </w:tblStylePr>
  </w:style>
  <w:style w:type="paragraph" w:customStyle="1" w:styleId="NoParagraphStyle">
    <w:name w:val="[No Paragraph Style]"/>
    <w:rsid w:val="00DF509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igure-TableHeadTable">
    <w:name w:val="Figure-Table Head (Table)"/>
    <w:basedOn w:val="Paragraph"/>
    <w:uiPriority w:val="99"/>
    <w:rsid w:val="00DF5097"/>
    <w:pPr>
      <w:spacing w:after="90"/>
    </w:pPr>
    <w:rPr>
      <w:b/>
      <w:bCs/>
      <w:sz w:val="20"/>
      <w:szCs w:val="20"/>
    </w:rPr>
  </w:style>
  <w:style w:type="paragraph" w:customStyle="1" w:styleId="ColumnHeadCenterTable">
    <w:name w:val="Column Head Center (Table)"/>
    <w:basedOn w:val="Normal"/>
    <w:uiPriority w:val="99"/>
    <w:rsid w:val="00DF5097"/>
    <w:pPr>
      <w:suppressAutoHyphens/>
      <w:autoSpaceDE w:val="0"/>
      <w:autoSpaceDN w:val="0"/>
      <w:adjustRightInd w:val="0"/>
      <w:spacing w:line="240" w:lineRule="atLeast"/>
      <w:jc w:val="center"/>
      <w:textAlignment w:val="center"/>
    </w:pPr>
    <w:rPr>
      <w:rFonts w:ascii="Arial Narrow" w:eastAsiaTheme="minorEastAsia" w:hAnsi="Arial Narrow" w:cs="Arial Narrow"/>
      <w:b/>
      <w:bCs/>
      <w:color w:val="FFFFFF"/>
      <w:sz w:val="19"/>
      <w:szCs w:val="19"/>
    </w:rPr>
  </w:style>
  <w:style w:type="paragraph" w:customStyle="1" w:styleId="ColumnLeftTable">
    <w:name w:val="Column Left (Table)"/>
    <w:basedOn w:val="Paragraph"/>
    <w:uiPriority w:val="99"/>
    <w:rsid w:val="00DF5097"/>
    <w:pPr>
      <w:spacing w:line="240" w:lineRule="atLeast"/>
    </w:pPr>
    <w:rPr>
      <w:rFonts w:ascii="Arial Narrow" w:hAnsi="Arial Narrow" w:cs="Arial Narrow"/>
    </w:rPr>
  </w:style>
  <w:style w:type="paragraph" w:customStyle="1" w:styleId="ColumnBuletL1Table">
    <w:name w:val="Column Bulet L1 (Table)"/>
    <w:basedOn w:val="Paragraph"/>
    <w:uiPriority w:val="99"/>
    <w:rsid w:val="00DF5097"/>
    <w:pPr>
      <w:spacing w:line="240" w:lineRule="atLeast"/>
      <w:ind w:left="200" w:hanging="200"/>
    </w:pPr>
    <w:rPr>
      <w:rFonts w:ascii="Arial Narrow" w:hAnsi="Arial Narrow" w:cs="Arial Narrow"/>
    </w:rPr>
  </w:style>
  <w:style w:type="character" w:customStyle="1" w:styleId="DemiCond">
    <w:name w:val="Demi Cond"/>
    <w:uiPriority w:val="99"/>
    <w:rsid w:val="00DF5097"/>
    <w:rPr>
      <w:rFonts w:ascii="Arial Narrow" w:hAnsi="Arial Narrow" w:cs="Arial Narrow"/>
      <w:b/>
      <w:bCs/>
    </w:rPr>
  </w:style>
  <w:style w:type="character" w:customStyle="1" w:styleId="Table-NarrowBoldBlue14pt">
    <w:name w:val="Table - Narrow Bold Blue 14pt"/>
    <w:uiPriority w:val="99"/>
    <w:rsid w:val="00DF5097"/>
    <w:rPr>
      <w:rFonts w:ascii="Arial Narrow" w:hAnsi="Arial Narrow" w:cs="Arial Narrow"/>
      <w:b/>
      <w:bCs/>
      <w:color w:val="003461"/>
      <w:sz w:val="28"/>
      <w:szCs w:val="28"/>
    </w:rPr>
  </w:style>
  <w:style w:type="paragraph" w:customStyle="1" w:styleId="ColumnHeadLeftTable">
    <w:name w:val="Column Head Left (Table)"/>
    <w:basedOn w:val="NoParagraphStyle"/>
    <w:uiPriority w:val="99"/>
    <w:rsid w:val="00967EDB"/>
    <w:pPr>
      <w:suppressAutoHyphens/>
      <w:spacing w:line="240" w:lineRule="atLeast"/>
    </w:pPr>
    <w:rPr>
      <w:rFonts w:ascii="Arial Narrow" w:hAnsi="Arial Narrow" w:cs="Arial Narrow"/>
      <w:b/>
      <w:bCs/>
      <w:color w:val="FFFFFF"/>
      <w:sz w:val="19"/>
      <w:szCs w:val="19"/>
    </w:rPr>
  </w:style>
  <w:style w:type="paragraph" w:customStyle="1" w:styleId="TableCheckmarks">
    <w:name w:val="Table Checkmarks"/>
    <w:basedOn w:val="TableTextCentered"/>
    <w:uiPriority w:val="1"/>
    <w:rsid w:val="00A738D7"/>
    <w:rPr>
      <w:rFonts w:ascii="Symbol" w:hAnsi="Symbol"/>
      <w:sz w:val="28"/>
      <w:szCs w:val="24"/>
    </w:rPr>
  </w:style>
  <w:style w:type="paragraph" w:customStyle="1" w:styleId="References">
    <w:name w:val="References"/>
    <w:basedOn w:val="Paragraph"/>
    <w:uiPriority w:val="99"/>
    <w:rsid w:val="00ED76E3"/>
    <w:pPr>
      <w:ind w:left="360" w:hanging="360"/>
    </w:pPr>
  </w:style>
  <w:style w:type="character" w:customStyle="1" w:styleId="MedCond">
    <w:name w:val="Med Cond"/>
    <w:uiPriority w:val="99"/>
    <w:rsid w:val="00ED76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uiPriority w:val="1"/>
    <w:rsid w:val="00967EDB"/>
    <w:pPr>
      <w:spacing w:after="0" w:line="240" w:lineRule="auto"/>
    </w:pPr>
    <w:rPr>
      <w:rFonts w:eastAsia="Times New Roman"/>
      <w:sz w:val="24"/>
      <w:szCs w:val="24"/>
    </w:rPr>
  </w:style>
  <w:style w:type="paragraph" w:styleId="Heading1">
    <w:name w:val="heading 1"/>
    <w:next w:val="BodyText"/>
    <w:link w:val="Heading1Char"/>
    <w:uiPriority w:val="9"/>
    <w:qFormat/>
    <w:rsid w:val="00691C47"/>
    <w:pPr>
      <w:spacing w:before="2160" w:after="120" w:line="240" w:lineRule="auto"/>
      <w:ind w:left="2160"/>
      <w:outlineLvl w:val="0"/>
    </w:pPr>
    <w:rPr>
      <w:rFonts w:asciiTheme="majorHAnsi" w:eastAsia="Perpetua" w:hAnsiTheme="majorHAnsi" w:cs="Times New Roman"/>
      <w:b/>
      <w:noProof/>
      <w:color w:val="773C75" w:themeColor="accent4"/>
      <w:sz w:val="60"/>
      <w:szCs w:val="60"/>
    </w:rPr>
  </w:style>
  <w:style w:type="paragraph" w:styleId="Heading2">
    <w:name w:val="heading 2"/>
    <w:basedOn w:val="Heading1"/>
    <w:next w:val="BodyText"/>
    <w:link w:val="Heading2Char"/>
    <w:uiPriority w:val="9"/>
    <w:qFormat/>
    <w:rsid w:val="007F138D"/>
    <w:pPr>
      <w:spacing w:before="360" w:after="0"/>
      <w:ind w:left="0"/>
      <w:outlineLvl w:val="1"/>
    </w:pPr>
    <w:rPr>
      <w:rFonts w:asciiTheme="minorHAnsi" w:hAnsiTheme="minorHAnsi" w:cstheme="minorHAnsi"/>
      <w:b w:val="0"/>
      <w:sz w:val="34"/>
      <w:szCs w:val="36"/>
    </w:rPr>
  </w:style>
  <w:style w:type="paragraph" w:styleId="Heading3">
    <w:name w:val="heading 3"/>
    <w:basedOn w:val="Subhead-Step"/>
    <w:next w:val="BodyText"/>
    <w:link w:val="Heading3Char"/>
    <w:uiPriority w:val="9"/>
    <w:qFormat/>
    <w:rsid w:val="007F138D"/>
    <w:pPr>
      <w:ind w:left="0"/>
      <w:outlineLvl w:val="2"/>
    </w:pPr>
    <w:rPr>
      <w:color w:val="773C75" w:themeColor="accent4"/>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Ind w:w="0" w:type="dxa"/>
      <w:tblBorders>
        <w:top w:val="single" w:sz="12" w:space="0" w:color="D4D4D4" w:themeColor="background2"/>
      </w:tblBorders>
      <w:tblCellMar>
        <w:top w:w="0" w:type="dxa"/>
        <w:left w:w="108" w:type="dxa"/>
        <w:bottom w:w="0" w:type="dxa"/>
        <w:right w:w="108" w:type="dxa"/>
      </w:tblCellMar>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99"/>
    <w:qFormat/>
    <w:rsid w:val="00EE7548"/>
    <w:pPr>
      <w:keepLines/>
      <w:numPr>
        <w:numId w:val="33"/>
      </w:numPr>
      <w:spacing w:before="120"/>
      <w:ind w:left="540" w:hanging="270"/>
    </w:pPr>
  </w:style>
  <w:style w:type="paragraph" w:styleId="BodyText">
    <w:name w:val="Body Text"/>
    <w:basedOn w:val="Paragraph"/>
    <w:link w:val="BodyTextChar"/>
    <w:qFormat/>
    <w:rsid w:val="007F138D"/>
  </w:style>
  <w:style w:type="character" w:customStyle="1" w:styleId="BodyTextChar">
    <w:name w:val="Body Text Char"/>
    <w:basedOn w:val="DefaultParagraphFont"/>
    <w:link w:val="BodyText"/>
    <w:rsid w:val="007F138D"/>
    <w:rPr>
      <w:rFonts w:ascii="Arial" w:hAnsi="Arial" w:cs="Arial"/>
      <w:color w:val="000000"/>
      <w:sz w:val="18"/>
      <w:szCs w:val="18"/>
    </w:rPr>
  </w:style>
  <w:style w:type="paragraph" w:customStyle="1" w:styleId="Bullet2">
    <w:name w:val="Bullet 2"/>
    <w:basedOn w:val="BodyText"/>
    <w:uiPriority w:val="4"/>
    <w:qFormat/>
    <w:rsid w:val="00494E11"/>
    <w:pPr>
      <w:keepLines/>
      <w:numPr>
        <w:ilvl w:val="1"/>
        <w:numId w:val="14"/>
      </w:numPr>
      <w:spacing w:before="120"/>
    </w:pPr>
  </w:style>
  <w:style w:type="paragraph" w:customStyle="1" w:styleId="Bullet3">
    <w:name w:val="Bullet 3"/>
    <w:basedOn w:val="BodyText"/>
    <w:uiPriority w:val="4"/>
    <w:qFormat/>
    <w:rsid w:val="00494E11"/>
    <w:pPr>
      <w:keepLines/>
      <w:numPr>
        <w:ilvl w:val="2"/>
        <w:numId w:val="14"/>
      </w:numPr>
      <w:spacing w:before="120"/>
      <w:contextualSpacing/>
    </w:pPr>
  </w:style>
  <w:style w:type="paragraph" w:customStyle="1" w:styleId="NumberedList">
    <w:name w:val="Numbered List"/>
    <w:basedOn w:val="BodyText"/>
    <w:uiPriority w:val="4"/>
    <w:qFormat/>
    <w:rsid w:val="00494E11"/>
    <w:pPr>
      <w:keepLines/>
      <w:numPr>
        <w:numId w:val="15"/>
      </w:numPr>
      <w:spacing w:before="120"/>
    </w:pPr>
  </w:style>
  <w:style w:type="paragraph" w:customStyle="1" w:styleId="TableBullet1">
    <w:name w:val="Table Bullet 1"/>
    <w:basedOn w:val="Bullet1"/>
    <w:uiPriority w:val="16"/>
    <w:qFormat/>
    <w:rsid w:val="00316234"/>
    <w:pPr>
      <w:spacing w:before="40" w:after="40" w:line="240" w:lineRule="atLeast"/>
      <w:ind w:left="274" w:hanging="274"/>
    </w:pPr>
  </w:style>
  <w:style w:type="paragraph" w:customStyle="1" w:styleId="TableBullet2">
    <w:name w:val="Table Bullet 2"/>
    <w:basedOn w:val="Normal"/>
    <w:uiPriority w:val="16"/>
    <w:qFormat/>
    <w:rsid w:val="00DB6494"/>
    <w:pPr>
      <w:numPr>
        <w:ilvl w:val="1"/>
        <w:numId w:val="17"/>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DB6494"/>
    <w:pPr>
      <w:numPr>
        <w:numId w:val="1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B02017"/>
    <w:pPr>
      <w:spacing w:before="480" w:after="0" w:line="240" w:lineRule="auto"/>
      <w:ind w:left="2434"/>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B02017"/>
    <w:rPr>
      <w:rFonts w:ascii="Arial" w:eastAsia="Perpetua" w:hAnsi="Arial" w:cs="Times New Roman"/>
      <w:b/>
      <w:color w:val="595959"/>
      <w:sz w:val="28"/>
      <w:szCs w:val="28"/>
    </w:rPr>
  </w:style>
  <w:style w:type="paragraph" w:customStyle="1" w:styleId="CoverFrontDate">
    <w:name w:val="Cover Front Date"/>
    <w:basedOn w:val="CoverFrontAuthorName"/>
    <w:uiPriority w:val="99"/>
    <w:rsid w:val="000611F0"/>
    <w:pPr>
      <w:spacing w:before="960"/>
      <w:ind w:left="2160"/>
    </w:pPr>
    <w:rPr>
      <w:rFonts w:asciiTheme="majorHAnsi" w:hAnsiTheme="majorHAnsi"/>
      <w:b w:val="0"/>
      <w:noProof/>
      <w:color w:val="003462" w:themeColor="text2"/>
      <w:sz w:val="32"/>
      <w:szCs w:val="3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ED31D1"/>
    <w:pPr>
      <w:keepLines/>
    </w:pPr>
    <w:rPr>
      <w:rFonts w:asciiTheme="minorHAnsi" w:eastAsiaTheme="minorEastAsia" w:hAnsiTheme="minorHAnsi" w:cstheme="minorHAnsi"/>
    </w:rPr>
  </w:style>
  <w:style w:type="paragraph" w:styleId="Footer">
    <w:name w:val="footer"/>
    <w:basedOn w:val="BasicParagraph"/>
    <w:link w:val="FooterChar"/>
    <w:uiPriority w:val="99"/>
    <w:unhideWhenUsed/>
    <w:qFormat/>
    <w:rsid w:val="007B557F"/>
    <w:pPr>
      <w:tabs>
        <w:tab w:val="center" w:pos="1880"/>
        <w:tab w:val="left" w:pos="2520"/>
      </w:tabs>
      <w:jc w:val="right"/>
    </w:pPr>
    <w:rPr>
      <w:rFonts w:ascii="Arial" w:hAnsi="Arial" w:cs="Arial"/>
      <w:color w:val="662E6B"/>
      <w:sz w:val="18"/>
      <w:szCs w:val="18"/>
    </w:rPr>
  </w:style>
  <w:style w:type="character" w:customStyle="1" w:styleId="FooterChar">
    <w:name w:val="Footer Char"/>
    <w:basedOn w:val="DefaultParagraphFont"/>
    <w:link w:val="Footer"/>
    <w:uiPriority w:val="99"/>
    <w:rsid w:val="007B557F"/>
    <w:rPr>
      <w:rFonts w:ascii="Arial" w:hAnsi="Arial" w:cs="Arial"/>
      <w:color w:val="662E6B"/>
      <w:sz w:val="18"/>
      <w:szCs w:val="18"/>
    </w:rPr>
  </w:style>
  <w:style w:type="character" w:styleId="FootnoteReference">
    <w:name w:val="footnote reference"/>
    <w:uiPriority w:val="99"/>
    <w:rsid w:val="00DB6494"/>
    <w:rPr>
      <w:vertAlign w:val="superscript"/>
    </w:rPr>
  </w:style>
  <w:style w:type="paragraph" w:styleId="FootnoteText">
    <w:name w:val="footnote text"/>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691C47"/>
    <w:rPr>
      <w:rFonts w:asciiTheme="majorHAnsi" w:eastAsia="Perpetua" w:hAnsiTheme="majorHAnsi" w:cs="Times New Roman"/>
      <w:b/>
      <w:noProof/>
      <w:color w:val="773C75" w:themeColor="accent4"/>
      <w:sz w:val="60"/>
      <w:szCs w:val="60"/>
    </w:rPr>
  </w:style>
  <w:style w:type="character" w:customStyle="1" w:styleId="Heading2Char">
    <w:name w:val="Heading 2 Char"/>
    <w:basedOn w:val="DefaultParagraphFont"/>
    <w:link w:val="Heading2"/>
    <w:uiPriority w:val="9"/>
    <w:rsid w:val="007F138D"/>
    <w:rPr>
      <w:rFonts w:eastAsia="Perpetua" w:cstheme="minorHAnsi"/>
      <w:noProof/>
      <w:color w:val="773C75" w:themeColor="accent4"/>
      <w:sz w:val="34"/>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7F138D"/>
    <w:rPr>
      <w:rFonts w:ascii="Arial Narrow" w:hAnsi="Arial Narrow" w:cs="Arial Narrow"/>
      <w:b/>
      <w:bCs/>
      <w:color w:val="773C75" w:themeColor="accent4"/>
      <w:sz w:val="24"/>
      <w:szCs w:val="24"/>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2523B3"/>
    <w:pPr>
      <w:spacing w:before="40" w:after="40"/>
    </w:pPr>
    <w:rPr>
      <w:rFonts w:asciiTheme="majorHAnsi" w:hAnsiTheme="majorHAnsi" w:cs="Times New Roman"/>
      <w:b/>
      <w:bCs/>
      <w:sz w:val="19"/>
      <w:szCs w:val="20"/>
    </w:rPr>
  </w:style>
  <w:style w:type="paragraph" w:customStyle="1" w:styleId="TableText">
    <w:name w:val="Table Text"/>
    <w:uiPriority w:val="15"/>
    <w:qFormat/>
    <w:rsid w:val="00DF5097"/>
    <w:pPr>
      <w:spacing w:before="40" w:after="40" w:line="240" w:lineRule="atLeast"/>
    </w:pPr>
    <w:rPr>
      <w:rFonts w:asciiTheme="majorHAnsi" w:hAnsiTheme="majorHAnsi" w:cs="Times New Roman"/>
      <w:sz w:val="18"/>
      <w:szCs w:val="18"/>
    </w:rPr>
  </w:style>
  <w:style w:type="paragraph" w:customStyle="1" w:styleId="TableNote">
    <w:name w:val="Table Note"/>
    <w:aliases w:val="Figure Note,Exhibit Note"/>
    <w:basedOn w:val="TableText"/>
    <w:next w:val="BodyText"/>
    <w:uiPriority w:val="18"/>
    <w:qFormat/>
    <w:rsid w:val="00DB6494"/>
    <w:pPr>
      <w:spacing w:before="120" w:after="120"/>
      <w:contextualSpacing/>
    </w:p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770A09"/>
    <w:pPr>
      <w:tabs>
        <w:tab w:val="right" w:leader="dot" w:pos="12870"/>
      </w:tabs>
      <w:spacing w:before="180" w:after="100"/>
      <w:ind w:left="5076" w:hanging="756"/>
    </w:pPr>
    <w:rPr>
      <w:noProof/>
      <w:sz w:val="19"/>
      <w:szCs w:val="19"/>
    </w:rPr>
  </w:style>
  <w:style w:type="paragraph" w:customStyle="1" w:styleId="TableSubheading">
    <w:name w:val="Table Subheading"/>
    <w:basedOn w:val="Normal"/>
    <w:uiPriority w:val="15"/>
    <w:qFormat/>
    <w:rsid w:val="00ED76E3"/>
    <w:pPr>
      <w:suppressAutoHyphens/>
      <w:autoSpaceDE w:val="0"/>
      <w:autoSpaceDN w:val="0"/>
      <w:adjustRightInd w:val="0"/>
      <w:spacing w:before="180" w:after="90" w:line="240" w:lineRule="atLeast"/>
      <w:textAlignment w:val="center"/>
    </w:pPr>
    <w:rPr>
      <w:rFonts w:ascii="Arial Narrow" w:eastAsiaTheme="minorEastAsia" w:hAnsi="Arial Narrow" w:cs="Arial Narrow"/>
      <w:b/>
      <w:bCs/>
      <w:color w:val="003461"/>
      <w:sz w:val="28"/>
      <w:szCs w:val="28"/>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FigureTitle"/>
    <w:next w:val="BodyText"/>
    <w:uiPriority w:val="14"/>
    <w:qFormat/>
    <w:rsid w:val="00DF5097"/>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Normal"/>
    <w:uiPriority w:val="99"/>
    <w:rsid w:val="00AF565E"/>
    <w:pPr>
      <w:suppressAutoHyphens/>
      <w:autoSpaceDE w:val="0"/>
      <w:autoSpaceDN w:val="0"/>
      <w:adjustRightInd w:val="0"/>
      <w:spacing w:before="180" w:line="288" w:lineRule="auto"/>
      <w:ind w:left="4320"/>
      <w:textAlignment w:val="center"/>
    </w:pPr>
    <w:rPr>
      <w:rFonts w:ascii="Arial Narrow" w:eastAsiaTheme="minorEastAsia" w:hAnsi="Arial Narrow" w:cs="Arial Narrow"/>
      <w:b/>
      <w:bCs/>
      <w:color w:val="000000"/>
      <w:sz w:val="20"/>
      <w:szCs w:val="19"/>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AuthorHead"/>
    <w:uiPriority w:val="99"/>
    <w:rsid w:val="00AF565E"/>
    <w:pPr>
      <w:spacing w:before="0"/>
      <w:ind w:left="4320"/>
    </w:pPr>
    <w:rPr>
      <w:rFonts w:ascii="Arial Narrow" w:hAnsi="Arial Narrow" w:cs="Arial Narrow"/>
      <w:i/>
      <w:iCs/>
      <w:sz w:val="20"/>
      <w:szCs w:val="20"/>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C67990"/>
    <w:pPr>
      <w:tabs>
        <w:tab w:val="right" w:leader="dot" w:pos="12870"/>
      </w:tabs>
      <w:spacing w:before="180" w:after="100" w:line="240" w:lineRule="atLeast"/>
      <w:ind w:left="5400" w:right="1080" w:hanging="720"/>
    </w:pPr>
    <w:rPr>
      <w:noProof/>
      <w:sz w:val="19"/>
      <w:szCs w:val="19"/>
    </w:r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7F138D"/>
    <w:pPr>
      <w:spacing w:before="0" w:after="0"/>
      <w:ind w:left="4320"/>
    </w:pPr>
    <w:rPr>
      <w:rFonts w:asciiTheme="minorHAnsi" w:eastAsiaTheme="majorEastAsia" w:hAnsiTheme="minorHAnsi" w:cstheme="minorHAnsi"/>
      <w:b w:val="0"/>
      <w:color w:val="773C75" w:themeColor="accent4"/>
      <w:sz w:val="34"/>
      <w:szCs w:val="34"/>
    </w:rPr>
  </w:style>
  <w:style w:type="character" w:styleId="CommentReference">
    <w:name w:val="annotation reference"/>
    <w:basedOn w:val="DefaultParagraphFont"/>
    <w:uiPriority w:val="99"/>
    <w:semiHidden/>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326B45"/>
    <w:rPr>
      <w:color w:val="003462" w:themeColor="text2"/>
      <w:u w:val="single"/>
    </w:rPr>
  </w:style>
  <w:style w:type="table" w:styleId="TableGrid">
    <w:name w:val="Table Grid"/>
    <w:basedOn w:val="TableNormal"/>
    <w:uiPriority w:val="59"/>
    <w:rsid w:val="0076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basedOn w:val="CoverFrontAuthorName"/>
    <w:uiPriority w:val="1"/>
    <w:rsid w:val="00691C47"/>
    <w:pPr>
      <w:spacing w:before="120"/>
      <w:ind w:left="2160"/>
    </w:pPr>
    <w:rPr>
      <w:rFonts w:asciiTheme="majorHAnsi" w:hAnsiTheme="majorHAnsi"/>
      <w:b w:val="0"/>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customStyle="1" w:styleId="TitlePage-AuthorHead">
    <w:name w:val="Title Page - Author Head"/>
    <w:basedOn w:val="Normal"/>
    <w:uiPriority w:val="99"/>
    <w:rsid w:val="00CA4450"/>
    <w:pPr>
      <w:suppressAutoHyphens/>
      <w:autoSpaceDE w:val="0"/>
      <w:autoSpaceDN w:val="0"/>
      <w:adjustRightInd w:val="0"/>
      <w:spacing w:before="180" w:line="288" w:lineRule="auto"/>
      <w:textAlignment w:val="center"/>
    </w:pPr>
    <w:rPr>
      <w:rFonts w:ascii="ITC Franklin Gothic Std Bk Cd" w:eastAsiaTheme="minorEastAsia" w:hAnsi="ITC Franklin Gothic Std Bk Cd" w:cs="ITC Franklin Gothic Std Bk Cd"/>
      <w:color w:val="000000"/>
      <w:sz w:val="30"/>
      <w:szCs w:val="30"/>
    </w:rPr>
  </w:style>
  <w:style w:type="paragraph" w:customStyle="1" w:styleId="BasicParagraph">
    <w:name w:val="[Basic Paragraph]"/>
    <w:basedOn w:val="Normal"/>
    <w:uiPriority w:val="99"/>
    <w:rsid w:val="007B557F"/>
    <w:pPr>
      <w:autoSpaceDE w:val="0"/>
      <w:autoSpaceDN w:val="0"/>
      <w:adjustRightInd w:val="0"/>
      <w:spacing w:line="288" w:lineRule="auto"/>
      <w:textAlignment w:val="center"/>
    </w:pPr>
    <w:rPr>
      <w:rFonts w:ascii="Minion Pro" w:eastAsiaTheme="minorEastAsia" w:hAnsi="Minion Pro" w:cs="Minion Pro"/>
      <w:color w:val="000000"/>
    </w:rPr>
  </w:style>
  <w:style w:type="character" w:styleId="PageNumber">
    <w:name w:val="page number"/>
    <w:uiPriority w:val="99"/>
    <w:unhideWhenUsed/>
    <w:rsid w:val="00D20588"/>
    <w:rPr>
      <w:rFonts w:cstheme="minorHAnsi"/>
      <w:shd w:val="clear" w:color="auto" w:fill="773C75" w:themeFill="accent4"/>
    </w:rPr>
  </w:style>
  <w:style w:type="paragraph" w:customStyle="1" w:styleId="Paragraph">
    <w:name w:val="Paragraph"/>
    <w:basedOn w:val="Normal"/>
    <w:uiPriority w:val="99"/>
    <w:rsid w:val="00313350"/>
    <w:pPr>
      <w:suppressAutoHyphens/>
      <w:autoSpaceDE w:val="0"/>
      <w:autoSpaceDN w:val="0"/>
      <w:adjustRightInd w:val="0"/>
      <w:spacing w:before="180" w:line="290" w:lineRule="atLeast"/>
      <w:textAlignment w:val="center"/>
    </w:pPr>
    <w:rPr>
      <w:rFonts w:ascii="Arial" w:eastAsiaTheme="minorEastAsia" w:hAnsi="Arial" w:cs="Arial"/>
      <w:color w:val="000000"/>
      <w:sz w:val="18"/>
      <w:szCs w:val="18"/>
    </w:rPr>
  </w:style>
  <w:style w:type="paragraph" w:customStyle="1" w:styleId="Subhead-Step">
    <w:name w:val="Subhead - Step"/>
    <w:basedOn w:val="Paragraph"/>
    <w:uiPriority w:val="99"/>
    <w:rsid w:val="00313350"/>
    <w:pPr>
      <w:tabs>
        <w:tab w:val="left" w:pos="1120"/>
      </w:tabs>
      <w:spacing w:before="360" w:line="300" w:lineRule="atLeast"/>
      <w:ind w:left="200"/>
    </w:pPr>
    <w:rPr>
      <w:rFonts w:ascii="Arial Narrow" w:hAnsi="Arial Narrow" w:cs="Arial Narrow"/>
      <w:b/>
      <w:bCs/>
      <w:color w:val="2E0096"/>
      <w:sz w:val="24"/>
      <w:szCs w:val="24"/>
    </w:rPr>
  </w:style>
  <w:style w:type="paragraph" w:customStyle="1" w:styleId="Paragraph-StepIndented">
    <w:name w:val="Paragraph - Step Indented"/>
    <w:basedOn w:val="Paragraph"/>
    <w:uiPriority w:val="99"/>
    <w:rsid w:val="00313350"/>
    <w:pPr>
      <w:ind w:left="200"/>
    </w:pPr>
  </w:style>
  <w:style w:type="character" w:customStyle="1" w:styleId="BoldItal">
    <w:name w:val="Bold Ital"/>
    <w:uiPriority w:val="99"/>
    <w:rsid w:val="00313350"/>
    <w:rPr>
      <w:b/>
      <w:bCs/>
      <w:i/>
      <w:iCs/>
    </w:rPr>
  </w:style>
  <w:style w:type="character" w:customStyle="1" w:styleId="STEP">
    <w:name w:val="STEP"/>
    <w:uiPriority w:val="99"/>
    <w:rsid w:val="00313350"/>
    <w:rPr>
      <w:caps/>
      <w:color w:val="2E0096"/>
    </w:rPr>
  </w:style>
  <w:style w:type="character" w:customStyle="1" w:styleId="Bold">
    <w:name w:val="Bold"/>
    <w:uiPriority w:val="99"/>
    <w:rsid w:val="00313350"/>
    <w:rPr>
      <w:b/>
      <w:bCs/>
    </w:rPr>
  </w:style>
  <w:style w:type="character" w:customStyle="1" w:styleId="ital">
    <w:name w:val="ital"/>
    <w:uiPriority w:val="99"/>
    <w:rsid w:val="00313350"/>
    <w:rPr>
      <w:i/>
      <w:iCs/>
    </w:rPr>
  </w:style>
  <w:style w:type="character" w:styleId="FollowedHyperlink">
    <w:name w:val="FollowedHyperlink"/>
    <w:basedOn w:val="DefaultParagraphFont"/>
    <w:uiPriority w:val="99"/>
    <w:semiHidden/>
    <w:unhideWhenUsed/>
    <w:rsid w:val="00326B45"/>
    <w:rPr>
      <w:color w:val="800080" w:themeColor="followedHyperlink"/>
      <w:u w:val="single"/>
    </w:rPr>
  </w:style>
  <w:style w:type="paragraph" w:customStyle="1" w:styleId="CalloutTitleCallouts">
    <w:name w:val="Callout Title (Callouts)"/>
    <w:uiPriority w:val="99"/>
    <w:rsid w:val="00060AF7"/>
    <w:pPr>
      <w:suppressAutoHyphens/>
      <w:autoSpaceDE w:val="0"/>
      <w:autoSpaceDN w:val="0"/>
      <w:adjustRightInd w:val="0"/>
      <w:spacing w:before="90" w:after="0" w:line="300" w:lineRule="atLeast"/>
      <w:textAlignment w:val="center"/>
    </w:pPr>
    <w:rPr>
      <w:rFonts w:ascii="Arial Narrow" w:hAnsi="Arial Narrow" w:cs="Arial Narrow"/>
      <w:b/>
      <w:bCs/>
      <w:color w:val="662E6B"/>
      <w:sz w:val="26"/>
      <w:szCs w:val="26"/>
    </w:rPr>
  </w:style>
  <w:style w:type="paragraph" w:customStyle="1" w:styleId="CalloutBulletsCallouts">
    <w:name w:val="Callout Bullets (Callouts)"/>
    <w:uiPriority w:val="99"/>
    <w:rsid w:val="00060AF7"/>
    <w:pPr>
      <w:numPr>
        <w:numId w:val="30"/>
      </w:numPr>
      <w:suppressAutoHyphens/>
      <w:autoSpaceDE w:val="0"/>
      <w:autoSpaceDN w:val="0"/>
      <w:adjustRightInd w:val="0"/>
      <w:spacing w:before="90" w:after="90" w:line="240" w:lineRule="atLeast"/>
      <w:ind w:left="173" w:hanging="187"/>
      <w:textAlignment w:val="center"/>
    </w:pPr>
    <w:rPr>
      <w:rFonts w:ascii="Arial Narrow" w:hAnsi="Arial Narrow" w:cs="Arial Narrow"/>
      <w:color w:val="000000"/>
      <w:sz w:val="19"/>
      <w:szCs w:val="19"/>
    </w:rPr>
  </w:style>
  <w:style w:type="table" w:customStyle="1" w:styleId="GTLCallOutTable">
    <w:name w:val="GTL Call Out Table"/>
    <w:basedOn w:val="TableNormal"/>
    <w:uiPriority w:val="99"/>
    <w:rsid w:val="00B70E4F"/>
    <w:pPr>
      <w:spacing w:after="0" w:line="240" w:lineRule="auto"/>
    </w:pPr>
    <w:tblPr>
      <w:tblInd w:w="0" w:type="dxa"/>
      <w:tblBorders>
        <w:top w:val="single" w:sz="48" w:space="0" w:color="773C75" w:themeColor="accent4"/>
        <w:bottom w:val="single" w:sz="48" w:space="0" w:color="773C75" w:themeColor="accent4"/>
      </w:tblBorders>
      <w:tblCellMar>
        <w:top w:w="0" w:type="dxa"/>
        <w:left w:w="108" w:type="dxa"/>
        <w:bottom w:w="0" w:type="dxa"/>
        <w:right w:w="108" w:type="dxa"/>
      </w:tblCellMar>
    </w:tblPr>
    <w:tcPr>
      <w:shd w:val="clear" w:color="auto" w:fill="F2F2F2" w:themeFill="background1" w:themeFillShade="F2"/>
    </w:tcPr>
  </w:style>
  <w:style w:type="table" w:customStyle="1" w:styleId="GTLTable1">
    <w:name w:val="GTL Table 1"/>
    <w:basedOn w:val="TableNormal"/>
    <w:uiPriority w:val="99"/>
    <w:rsid w:val="002523B3"/>
    <w:pPr>
      <w:spacing w:after="0" w:line="240" w:lineRule="auto"/>
    </w:pPr>
    <w:rPr>
      <w:sz w:val="18"/>
    </w:rPr>
    <w:tblP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0" w:type="dxa"/>
        <w:left w:w="108" w:type="dxa"/>
        <w:bottom w:w="0" w:type="dxa"/>
        <w:right w:w="108" w:type="dxa"/>
      </w:tblCellMar>
    </w:tblPr>
    <w:tcPr>
      <w:shd w:val="clear" w:color="auto" w:fill="FFFFFF" w:themeFill="background1"/>
    </w:tcPr>
    <w:tblStylePr w:type="firstRow">
      <w:tblPr/>
      <w:tcPr>
        <w:shd w:val="clear" w:color="auto" w:fill="003462" w:themeFill="text2"/>
      </w:tcPr>
    </w:tblStylePr>
  </w:style>
  <w:style w:type="paragraph" w:customStyle="1" w:styleId="NoParagraphStyle">
    <w:name w:val="[No Paragraph Style]"/>
    <w:rsid w:val="00DF509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igure-TableHeadTable">
    <w:name w:val="Figure-Table Head (Table)"/>
    <w:basedOn w:val="Paragraph"/>
    <w:uiPriority w:val="99"/>
    <w:rsid w:val="00DF5097"/>
    <w:pPr>
      <w:spacing w:after="90"/>
    </w:pPr>
    <w:rPr>
      <w:b/>
      <w:bCs/>
      <w:sz w:val="20"/>
      <w:szCs w:val="20"/>
    </w:rPr>
  </w:style>
  <w:style w:type="paragraph" w:customStyle="1" w:styleId="ColumnHeadCenterTable">
    <w:name w:val="Column Head Center (Table)"/>
    <w:basedOn w:val="Normal"/>
    <w:uiPriority w:val="99"/>
    <w:rsid w:val="00DF5097"/>
    <w:pPr>
      <w:suppressAutoHyphens/>
      <w:autoSpaceDE w:val="0"/>
      <w:autoSpaceDN w:val="0"/>
      <w:adjustRightInd w:val="0"/>
      <w:spacing w:line="240" w:lineRule="atLeast"/>
      <w:jc w:val="center"/>
      <w:textAlignment w:val="center"/>
    </w:pPr>
    <w:rPr>
      <w:rFonts w:ascii="Arial Narrow" w:eastAsiaTheme="minorEastAsia" w:hAnsi="Arial Narrow" w:cs="Arial Narrow"/>
      <w:b/>
      <w:bCs/>
      <w:color w:val="FFFFFF"/>
      <w:sz w:val="19"/>
      <w:szCs w:val="19"/>
    </w:rPr>
  </w:style>
  <w:style w:type="paragraph" w:customStyle="1" w:styleId="ColumnLeftTable">
    <w:name w:val="Column Left (Table)"/>
    <w:basedOn w:val="Paragraph"/>
    <w:uiPriority w:val="99"/>
    <w:rsid w:val="00DF5097"/>
    <w:pPr>
      <w:spacing w:line="240" w:lineRule="atLeast"/>
    </w:pPr>
    <w:rPr>
      <w:rFonts w:ascii="Arial Narrow" w:hAnsi="Arial Narrow" w:cs="Arial Narrow"/>
    </w:rPr>
  </w:style>
  <w:style w:type="paragraph" w:customStyle="1" w:styleId="ColumnBuletL1Table">
    <w:name w:val="Column Bulet L1 (Table)"/>
    <w:basedOn w:val="Paragraph"/>
    <w:uiPriority w:val="99"/>
    <w:rsid w:val="00DF5097"/>
    <w:pPr>
      <w:spacing w:line="240" w:lineRule="atLeast"/>
      <w:ind w:left="200" w:hanging="200"/>
    </w:pPr>
    <w:rPr>
      <w:rFonts w:ascii="Arial Narrow" w:hAnsi="Arial Narrow" w:cs="Arial Narrow"/>
    </w:rPr>
  </w:style>
  <w:style w:type="character" w:customStyle="1" w:styleId="DemiCond">
    <w:name w:val="Demi Cond"/>
    <w:uiPriority w:val="99"/>
    <w:rsid w:val="00DF5097"/>
    <w:rPr>
      <w:rFonts w:ascii="Arial Narrow" w:hAnsi="Arial Narrow" w:cs="Arial Narrow"/>
      <w:b/>
      <w:bCs/>
    </w:rPr>
  </w:style>
  <w:style w:type="character" w:customStyle="1" w:styleId="Table-NarrowBoldBlue14pt">
    <w:name w:val="Table - Narrow Bold Blue 14pt"/>
    <w:uiPriority w:val="99"/>
    <w:rsid w:val="00DF5097"/>
    <w:rPr>
      <w:rFonts w:ascii="Arial Narrow" w:hAnsi="Arial Narrow" w:cs="Arial Narrow"/>
      <w:b/>
      <w:bCs/>
      <w:color w:val="003461"/>
      <w:sz w:val="28"/>
      <w:szCs w:val="28"/>
    </w:rPr>
  </w:style>
  <w:style w:type="paragraph" w:customStyle="1" w:styleId="ColumnHeadLeftTable">
    <w:name w:val="Column Head Left (Table)"/>
    <w:basedOn w:val="NoParagraphStyle"/>
    <w:uiPriority w:val="99"/>
    <w:rsid w:val="00967EDB"/>
    <w:pPr>
      <w:suppressAutoHyphens/>
      <w:spacing w:line="240" w:lineRule="atLeast"/>
    </w:pPr>
    <w:rPr>
      <w:rFonts w:ascii="Arial Narrow" w:hAnsi="Arial Narrow" w:cs="Arial Narrow"/>
      <w:b/>
      <w:bCs/>
      <w:color w:val="FFFFFF"/>
      <w:sz w:val="19"/>
      <w:szCs w:val="19"/>
    </w:rPr>
  </w:style>
  <w:style w:type="paragraph" w:customStyle="1" w:styleId="TableCheckmarks">
    <w:name w:val="Table Checkmarks"/>
    <w:basedOn w:val="TableTextCentered"/>
    <w:uiPriority w:val="1"/>
    <w:rsid w:val="00A738D7"/>
    <w:rPr>
      <w:rFonts w:ascii="Symbol" w:hAnsi="Symbol"/>
      <w:sz w:val="28"/>
      <w:szCs w:val="24"/>
    </w:rPr>
  </w:style>
  <w:style w:type="paragraph" w:customStyle="1" w:styleId="References">
    <w:name w:val="References"/>
    <w:basedOn w:val="Paragraph"/>
    <w:uiPriority w:val="99"/>
    <w:rsid w:val="00ED76E3"/>
    <w:pPr>
      <w:ind w:left="360" w:hanging="360"/>
    </w:pPr>
  </w:style>
  <w:style w:type="character" w:customStyle="1" w:styleId="MedCond">
    <w:name w:val="Med Cond"/>
    <w:uiPriority w:val="99"/>
    <w:rsid w:val="00ED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es.ed.gov/ncee/wwc/" TargetMode="External"/><Relationship Id="rId21" Type="http://schemas.openxmlformats.org/officeDocument/2006/relationships/hyperlink" Target="http://ies.ed.gov/" TargetMode="External"/><Relationship Id="rId22" Type="http://schemas.openxmlformats.org/officeDocument/2006/relationships/hyperlink" Target="http://www.bestevidence.org/" TargetMode="External"/><Relationship Id="rId23" Type="http://schemas.openxmlformats.org/officeDocument/2006/relationships/hyperlink" Target="http://iris.peabody.vanderbilt.edu/ebp_summaries/" TargetMode="External"/><Relationship Id="rId24" Type="http://schemas.openxmlformats.org/officeDocument/2006/relationships/hyperlink" Target="http://ebi.missouri.edu/" TargetMode="External"/><Relationship Id="rId25" Type="http://schemas.openxmlformats.org/officeDocument/2006/relationships/hyperlink" Target="http://www.teachingworks.org/work-of-teaching/high-leverage-practices" TargetMode="External"/><Relationship Id="rId26" Type="http://schemas.openxmlformats.org/officeDocument/2006/relationships/header" Target="header3.xml"/><Relationship Id="rId27" Type="http://schemas.openxmlformats.org/officeDocument/2006/relationships/footer" Target="footer2.xml"/><Relationship Id="rId28" Type="http://schemas.openxmlformats.org/officeDocument/2006/relationships/header" Target="header4.xml"/><Relationship Id="rId2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ceedar.education.ufl.edu/tools/innovation-configurations/" TargetMode="External"/><Relationship Id="rId31" Type="http://schemas.openxmlformats.org/officeDocument/2006/relationships/header" Target="header5.xml"/><Relationship Id="rId32" Type="http://schemas.openxmlformats.org/officeDocument/2006/relationships/footer" Target="footer4.xm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yperlink" Target="http://ceedar.education.ufl.edu/tools/innovation-configurations/" TargetMode="External"/><Relationship Id="rId19" Type="http://schemas.openxmlformats.org/officeDocument/2006/relationships/hyperlink" Target="http://ceedar.education.ufl.edu/c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ir.org\netlogon\Templates\Report\AIR_Rpt_Template_09-16-15.dotx"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IL CSI">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MA5PA5REYDV2-3118-900</_dlc_DocId>
    <_dlc_DocIdUrl xmlns="1709d302-aa1c-49f7-a43d-f13e34b813dc">
      <Url>http://airportal.air.org/Services/PAC/_layouts/DocIdRedir.aspx?ID=MA5PA5REYDV2-3118-900</Url>
      <Description>MA5PA5REYDV2-3118-900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1709d302-aa1c-49f7-a43d-f13e34b813dc"/>
  </ds:schemaRefs>
</ds:datastoreItem>
</file>

<file path=customXml/itemProps2.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3.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4.xml><?xml version="1.0" encoding="utf-8"?>
<ds:datastoreItem xmlns:ds="http://schemas.openxmlformats.org/officeDocument/2006/customXml" ds:itemID="{429848CB-3C23-4AB2-A2DB-7D3C6E17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4CFEC-FCC4-6740-85CB-35096145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\\air.org\netlogon\Templates\Report\AIR_Rpt_Template_09-16-15.dotx</Template>
  <TotalTime>1</TotalTime>
  <Pages>16</Pages>
  <Words>4087</Words>
  <Characters>23301</Characters>
  <Application>Microsoft Macintosh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AIR Report</vt:lpstr>
    </vt:vector>
  </TitlesOfParts>
  <Company>American Institutes for Research</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Report</dc:title>
  <dc:subject>AIR Report</dc:subject>
  <dc:creator>American Institutes for Research</dc:creator>
  <cp:lastModifiedBy>Luke Markley</cp:lastModifiedBy>
  <cp:revision>2</cp:revision>
  <dcterms:created xsi:type="dcterms:W3CDTF">2016-07-28T14:43:00Z</dcterms:created>
  <dcterms:modified xsi:type="dcterms:W3CDTF">2016-07-28T14:43:00Z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0x0101000F2EE08176DAB5419159A53B04F1A034</vt:lpwstr>
  </property>
</Properties>
</file>